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澳门特别行政区基本法课程教学计划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第一章   基本法学研究的对象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一、“一国两制”的理论和实践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1，“一国两制”的内涵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2，“一国两制”的形成和发展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3，“一国两制”是基本法制定的基础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二、基本法的理论和实践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1，基本法的立法基础、特点和原则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2，基本法的内容和确立的制度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3，基本法的作用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4，基本法的相关理论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三、基本法学研究的意义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1，依法治澳的需要（中央和特区依法治澳）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2，澳人治澳的需要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3，国家统一和稳定发展的需要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4，研究、完善和发展澳门法律制度的需要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outlineLvl w:val="0"/>
        <w:rPr>
          <w:rFonts w:hint="eastAsia" w:ascii="宋体" w:hAnsi="宋体"/>
        </w:rPr>
      </w:pPr>
      <w:r>
        <w:rPr>
          <w:rFonts w:hint="eastAsia" w:ascii="宋体" w:hAnsi="宋体"/>
        </w:rPr>
        <w:t>第二章  基本法的概念、地位、特点和作用</w:t>
      </w:r>
    </w:p>
    <w:p>
      <w:pPr>
        <w:spacing w:line="360" w:lineRule="auto"/>
        <w:outlineLvl w:val="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一、 基本法的概念、法律地位、效力、及法律特性、法律规范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二、 基本法与“一国两制”的关系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三、 基本法与宪法的关系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四、 基本法与国家其他法律及与特别行政区其他法律的关系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第三章  基本法的制定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一、 基本法制定的过程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二、 基本法制定的特点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1，体现“一国两制”的方针政策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2，从澳门的实际出发，符合澳门的实际情况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3，充分发扬民主，集思广益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4，严谨科学的法律精神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outlineLvl w:val="0"/>
        <w:rPr>
          <w:rFonts w:hint="eastAsia" w:ascii="宋体" w:hAnsi="宋体"/>
        </w:rPr>
      </w:pPr>
      <w:r>
        <w:rPr>
          <w:rFonts w:hint="eastAsia" w:ascii="宋体" w:hAnsi="宋体"/>
        </w:rPr>
        <w:t>第四章  特别行政区的性质、特点和基本制度</w:t>
      </w:r>
    </w:p>
    <w:p>
      <w:pPr>
        <w:spacing w:line="360" w:lineRule="auto"/>
        <w:outlineLvl w:val="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一、 特别行政区的性质和地位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1，从国家的整体与部分关系分析，特别行政区不是独立的政治实体、是地方行政区域，是国家不可分离的一部分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2，与联邦制成员国和单一制行政区划的比较分析（区划与组合不同、分级管理与统一施政不同）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3，特别行政区有义务自行立法禁止分裂国家等行为）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二、 特别行政区实行高度自治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1，高度自治的概念和特点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2，中央授权高度自治（从权力的关系分析，自治权的来源和内容，授权与被授权的关系，中央授权的形式特点、方式特点、内容特点）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三、特别行政区实行“澳人治澳”（特点）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1，澳人治澳的含义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2，澳人治澳需以爱国爱澳者为主体</w:t>
      </w:r>
    </w:p>
    <w:p>
      <w:pPr>
        <w:spacing w:line="360" w:lineRule="auto"/>
        <w:ind w:left="420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四、特别行政区保持原有的资本主义制度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1，原有资本主义制度的概念，变与不变的关系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2，原有制度的主要内容（政治制度、经济制度、法律制度、基本权利和自由的制度，与内地制度的比较分析）</w:t>
      </w:r>
    </w:p>
    <w:p>
      <w:pPr>
        <w:spacing w:line="360" w:lineRule="auto"/>
        <w:ind w:left="432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第五章      中央与特别行政区的关系   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一、中央与特别行政区关系的性质是领导与被领导的关系（从中央与地方的行政从属关系分析，特别行政区是直辖于中央政府）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1，中央与地方关系体现“一国两制”的特点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2，权力的分类（中央掌握、中央授出、中央限制、特区全权行使、特区部分享有）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二、中央政府行使国家的主权（主权概念、对内对外）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1，外交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2，国防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3，任免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4，监督（法律备案等）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5，决定（全国性法律适用、宣布紧急状态、国际条约适用等）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6，发出指示（证明文件、指令等）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7，批准（军用船舶进入澳门、外国领事机构的设立等）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三、特别行政区政府行使自治权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1，行政管理权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2，立法权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3，司法权和终审权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4，对外事务权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四、中央可授予特区其他权力，并保证特区高度自治，（不存在剩余权力的问题）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五、行使权力的原则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1，依法行使权力与履行义务的原则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2，维护国家统一和特区稳定、发展、繁荣的原则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3，咨询协商原则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4，不干预与监督原则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第六章    居民的基本权利和义务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基本权利的概述（权利和义务的概念、权利和义务的关系）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居民的基本权利、自由和义务的特点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1，体现联合声明的规定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2，基本法为依归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3，权利主体的特点（多样性）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4，权利内容的特点（广泛性）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5，义务的特点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居民的含义和构成（永久与非永久、中国籍与非中国籍、居民与其他人）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基本权利和自由的内容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1，平等权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2，财产权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3，选举权与被选举权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4，政治自由权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5，参加国家事务管理权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6，人身自由权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7，人格尊严和隐私权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8，住宅不受侵犯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9，通讯自由和通讯秘密权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10，迁徒自由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11，信仰自由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12，择业和工作自由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13，诉诸法律权（罪行法定、无罪推定）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14，教育和学术等自由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15，婚姻自由及其他权利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16，享受社会福利的权利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葡后裔居民的权益受保护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两个国际人权公约、国际劳工公约的适用问题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基本义务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基本权利和自由的保障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1，基本法的保障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2，澳门法律的保障</w:t>
      </w:r>
    </w:p>
    <w:p>
      <w:pPr>
        <w:spacing w:line="360" w:lineRule="auto"/>
        <w:ind w:left="324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bCs/>
        </w:rPr>
        <w:t xml:space="preserve">第七章  </w:t>
      </w:r>
      <w:r>
        <w:rPr>
          <w:rFonts w:hint="eastAsia" w:ascii="宋体" w:hAnsi="宋体"/>
          <w:b/>
          <w:bCs/>
        </w:rPr>
        <w:t xml:space="preserve">  </w:t>
      </w:r>
      <w:r>
        <w:rPr>
          <w:rFonts w:hint="eastAsia" w:ascii="宋体" w:hAnsi="宋体"/>
        </w:rPr>
        <w:t xml:space="preserve">政治体制     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一、特区政治体制的特点  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1，体现“一国两制”（体现主权、体现澳人治澳、体现高度自治）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2，以行政为主导，行政、立法、司法既分工又合作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3，循序渐进发展民主制度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4，兼顾各阶层的利益</w:t>
      </w:r>
    </w:p>
    <w:p>
      <w:pPr>
        <w:spacing w:line="360" w:lineRule="auto"/>
        <w:ind w:left="324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二、特别行政区机构的组织和活动原则  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1，个人负责与集体决策结合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2，权利和职责的统一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3，依法活动原则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4，精简效率、勤政廉洁的原则</w:t>
      </w:r>
    </w:p>
    <w:p>
      <w:pPr>
        <w:spacing w:line="360" w:lineRule="auto"/>
        <w:ind w:left="324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三、行政长官  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1，行政长官的地位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2，行政长官的资格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3，行政长官的任免和辞职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4，行政长官的职权和义务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5，行政长官与立法会的关系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6，行政长官与行政会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7，行政长官与廉政公署和审计署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四、行政机关  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1，行政机关的组成和特点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2，主要官员的资格和任免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3，行政机关的职权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4，行政机关与立法会的关系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5，行政机关的咨询组织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6，公务员  公务人员的概念 公务人员的资格 公务人员的留用 和福利待遇 外籍公务人员的聘用  公务人员的制度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五、立法会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1，立法会的性质和地位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2，立法会的产生和任期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3，立法会的职权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4，立法会的议员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5，组织和运作（会议）</w:t>
      </w:r>
    </w:p>
    <w:p>
      <w:pPr>
        <w:spacing w:line="360" w:lineRule="auto"/>
        <w:ind w:left="324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六、司法机关  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1，法院和检察院的设置和组织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2，法院的管辖和审判工作</w:t>
      </w:r>
    </w:p>
    <w:p>
      <w:pPr>
        <w:spacing w:line="360" w:lineRule="auto"/>
        <w:ind w:left="324"/>
        <w:rPr>
          <w:rFonts w:hint="eastAsia" w:ascii="宋体" w:hAnsi="宋体"/>
        </w:rPr>
      </w:pPr>
      <w:r>
        <w:rPr>
          <w:rFonts w:hint="eastAsia" w:ascii="宋体" w:hAnsi="宋体"/>
        </w:rPr>
        <w:t>3，法官和检察官的资格和任免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第八章    基本法的解释和修改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解释权属于人大常委会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人大常委会授权终审法院对基本法的解释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修改权属于全国人大</w:t>
      </w:r>
    </w:p>
    <w:p>
      <w:pPr>
        <w:spacing w:line="360" w:lineRule="auto"/>
        <w:rPr>
          <w:rFonts w:hint="eastAsia" w:ascii="宋体" w:hAnsi="宋体"/>
        </w:rPr>
      </w:pP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8"/>
        </w:rPr>
      </w:pPr>
      <w:r>
        <w:rPr>
          <w:rFonts w:hint="eastAsia" w:ascii="宋体" w:hAnsi="宋体"/>
        </w:rPr>
        <w:t>终审权与违反基本法的审查权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b/>
        </w:rPr>
        <w:t>考试评分</w:t>
      </w:r>
      <w:r>
        <w:rPr>
          <w:rFonts w:hint="eastAsia" w:ascii="宋体" w:hAnsi="宋体"/>
        </w:rPr>
        <w:t>：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以书面考试方式进行。考试包括本科目必须掌握的基本概念、基本理论、案例分析、及理论联系实际分析具体问题，发表个人见解四个部分。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b/>
        </w:rPr>
        <w:t>教材</w:t>
      </w:r>
      <w:r>
        <w:rPr>
          <w:rFonts w:hint="eastAsia" w:ascii="宋体" w:hAnsi="宋体"/>
        </w:rPr>
        <w:t>：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澳门特别行政区基本法讲义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b/>
        </w:rPr>
        <w:t>参考书</w:t>
      </w:r>
      <w:r>
        <w:rPr>
          <w:rFonts w:hint="eastAsia" w:ascii="宋体" w:hAnsi="宋体"/>
        </w:rPr>
        <w:t>：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1，</w:t>
      </w:r>
      <w:r>
        <w:rPr>
          <w:rFonts w:ascii="宋体" w:hAnsi="宋体"/>
        </w:rPr>
        <w:t>《</w:t>
      </w:r>
      <w:r>
        <w:rPr>
          <w:rFonts w:hint="eastAsia" w:ascii="宋体" w:hAnsi="宋体"/>
        </w:rPr>
        <w:t>澳门特别行政区基本法新论》，骆伟建著，社会科学文献出版社，2012年5月。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2，《澳门特别行政区</w:t>
      </w:r>
      <w:r>
        <w:rPr>
          <w:rFonts w:hint="eastAsia" w:ascii="宋体" w:hAnsi="宋体"/>
          <w:lang w:val="en-US" w:eastAsia="zh-CN"/>
        </w:rPr>
        <w:t>解析——立法背景和立法原单的探究</w:t>
      </w:r>
      <w:r>
        <w:rPr>
          <w:rFonts w:hint="eastAsia" w:ascii="宋体" w:hAnsi="宋体"/>
        </w:rPr>
        <w:t>》，</w:t>
      </w:r>
      <w:r>
        <w:rPr>
          <w:rFonts w:hint="eastAsia" w:ascii="宋体" w:hAnsi="宋体"/>
          <w:lang w:val="en-US" w:eastAsia="zh-CN"/>
        </w:rPr>
        <w:t>骆伟建、江华、赵英杰著，</w:t>
      </w:r>
      <w:r>
        <w:rPr>
          <w:rFonts w:hint="eastAsia" w:ascii="宋体" w:hAnsi="宋体"/>
        </w:rPr>
        <w:t>社会科学文献出版社，20</w:t>
      </w:r>
      <w:r>
        <w:rPr>
          <w:rFonts w:hint="eastAsia" w:ascii="宋体" w:hAnsi="宋体"/>
          <w:lang w:val="en-US" w:eastAsia="zh-CN"/>
        </w:rPr>
        <w:t>20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/>
        </w:rPr>
        <w:t>月。</w:t>
      </w:r>
    </w:p>
    <w:p>
      <w:pPr>
        <w:spacing w:line="360" w:lineRule="auto"/>
        <w:rPr>
          <w:rFonts w:hint="eastAsia" w:ascii="宋体" w:hAnsi="宋体"/>
          <w:sz w:val="28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047DF"/>
    <w:multiLevelType w:val="singleLevel"/>
    <w:tmpl w:val="02B047DF"/>
    <w:lvl w:ilvl="0" w:tentative="0">
      <w:start w:val="2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abstractNum w:abstractNumId="1">
    <w:nsid w:val="53AF1FB0"/>
    <w:multiLevelType w:val="singleLevel"/>
    <w:tmpl w:val="53AF1FB0"/>
    <w:lvl w:ilvl="0" w:tentative="0">
      <w:start w:val="1"/>
      <w:numFmt w:val="none"/>
      <w:lvlText w:val="一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abstractNum w:abstractNumId="2">
    <w:nsid w:val="610009EE"/>
    <w:multiLevelType w:val="singleLevel"/>
    <w:tmpl w:val="610009EE"/>
    <w:lvl w:ilvl="0" w:tentative="0">
      <w:start w:val="2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A"/>
    <w:rsid w:val="000033BA"/>
    <w:rsid w:val="00003899"/>
    <w:rsid w:val="00010EA0"/>
    <w:rsid w:val="00020243"/>
    <w:rsid w:val="00025C75"/>
    <w:rsid w:val="000305BD"/>
    <w:rsid w:val="0003347B"/>
    <w:rsid w:val="000335E8"/>
    <w:rsid w:val="00033C0D"/>
    <w:rsid w:val="00041D96"/>
    <w:rsid w:val="00043B5E"/>
    <w:rsid w:val="00053662"/>
    <w:rsid w:val="0008043A"/>
    <w:rsid w:val="000A1CF4"/>
    <w:rsid w:val="000C2026"/>
    <w:rsid w:val="000E4FE4"/>
    <w:rsid w:val="000F04D9"/>
    <w:rsid w:val="000F3B61"/>
    <w:rsid w:val="00100447"/>
    <w:rsid w:val="001129C1"/>
    <w:rsid w:val="00133C5D"/>
    <w:rsid w:val="00142E92"/>
    <w:rsid w:val="0014442A"/>
    <w:rsid w:val="00144AC5"/>
    <w:rsid w:val="001519D3"/>
    <w:rsid w:val="001522A1"/>
    <w:rsid w:val="00152615"/>
    <w:rsid w:val="001562EC"/>
    <w:rsid w:val="00156DE5"/>
    <w:rsid w:val="001637AF"/>
    <w:rsid w:val="00167CAD"/>
    <w:rsid w:val="0017033E"/>
    <w:rsid w:val="001719A6"/>
    <w:rsid w:val="00171E64"/>
    <w:rsid w:val="0017356C"/>
    <w:rsid w:val="0018036C"/>
    <w:rsid w:val="00195BA2"/>
    <w:rsid w:val="001A07C4"/>
    <w:rsid w:val="001A7A17"/>
    <w:rsid w:val="001C18FB"/>
    <w:rsid w:val="001D1005"/>
    <w:rsid w:val="001D1F9E"/>
    <w:rsid w:val="001D6145"/>
    <w:rsid w:val="001E2F2A"/>
    <w:rsid w:val="001F5F08"/>
    <w:rsid w:val="001F7D6A"/>
    <w:rsid w:val="00214DEC"/>
    <w:rsid w:val="00224C6D"/>
    <w:rsid w:val="00225DBF"/>
    <w:rsid w:val="00234E85"/>
    <w:rsid w:val="00237CB1"/>
    <w:rsid w:val="00254B99"/>
    <w:rsid w:val="00254FF5"/>
    <w:rsid w:val="0025743D"/>
    <w:rsid w:val="00257597"/>
    <w:rsid w:val="0027142A"/>
    <w:rsid w:val="00280104"/>
    <w:rsid w:val="00281179"/>
    <w:rsid w:val="00281295"/>
    <w:rsid w:val="002B0E40"/>
    <w:rsid w:val="002B46E9"/>
    <w:rsid w:val="002B4DB5"/>
    <w:rsid w:val="002C1C8B"/>
    <w:rsid w:val="00301306"/>
    <w:rsid w:val="00304665"/>
    <w:rsid w:val="00304F7A"/>
    <w:rsid w:val="00305334"/>
    <w:rsid w:val="00307DEF"/>
    <w:rsid w:val="00311920"/>
    <w:rsid w:val="003227F1"/>
    <w:rsid w:val="00323F41"/>
    <w:rsid w:val="003309E4"/>
    <w:rsid w:val="00340ED1"/>
    <w:rsid w:val="003623DB"/>
    <w:rsid w:val="003676A8"/>
    <w:rsid w:val="003741E2"/>
    <w:rsid w:val="003823C4"/>
    <w:rsid w:val="00396997"/>
    <w:rsid w:val="003A4EDA"/>
    <w:rsid w:val="003B098E"/>
    <w:rsid w:val="003C1304"/>
    <w:rsid w:val="003C6412"/>
    <w:rsid w:val="003D4C73"/>
    <w:rsid w:val="003E239C"/>
    <w:rsid w:val="003F2C5A"/>
    <w:rsid w:val="003F355D"/>
    <w:rsid w:val="003F6BF3"/>
    <w:rsid w:val="003F6E75"/>
    <w:rsid w:val="0040108D"/>
    <w:rsid w:val="00423D25"/>
    <w:rsid w:val="004262A6"/>
    <w:rsid w:val="004266E9"/>
    <w:rsid w:val="00443764"/>
    <w:rsid w:val="00447631"/>
    <w:rsid w:val="00490F4E"/>
    <w:rsid w:val="00495B10"/>
    <w:rsid w:val="00496313"/>
    <w:rsid w:val="004B0854"/>
    <w:rsid w:val="004B3C4A"/>
    <w:rsid w:val="004C0991"/>
    <w:rsid w:val="004C434A"/>
    <w:rsid w:val="004C72D1"/>
    <w:rsid w:val="004C74ED"/>
    <w:rsid w:val="004D0B3A"/>
    <w:rsid w:val="004E50A4"/>
    <w:rsid w:val="004F2BF6"/>
    <w:rsid w:val="00502408"/>
    <w:rsid w:val="00507859"/>
    <w:rsid w:val="00510CD0"/>
    <w:rsid w:val="00523094"/>
    <w:rsid w:val="00523AE2"/>
    <w:rsid w:val="005263D1"/>
    <w:rsid w:val="00541988"/>
    <w:rsid w:val="00556797"/>
    <w:rsid w:val="0056341D"/>
    <w:rsid w:val="00565292"/>
    <w:rsid w:val="00583CB1"/>
    <w:rsid w:val="00591325"/>
    <w:rsid w:val="00592D14"/>
    <w:rsid w:val="00595CA3"/>
    <w:rsid w:val="0059647A"/>
    <w:rsid w:val="005A14DB"/>
    <w:rsid w:val="005C1362"/>
    <w:rsid w:val="005C1E93"/>
    <w:rsid w:val="005C3AEA"/>
    <w:rsid w:val="005C4C44"/>
    <w:rsid w:val="005D225D"/>
    <w:rsid w:val="005D6C95"/>
    <w:rsid w:val="005D78B9"/>
    <w:rsid w:val="005E4D3E"/>
    <w:rsid w:val="005E60EB"/>
    <w:rsid w:val="005F27A2"/>
    <w:rsid w:val="005F4304"/>
    <w:rsid w:val="005F5B50"/>
    <w:rsid w:val="006024FF"/>
    <w:rsid w:val="006025AD"/>
    <w:rsid w:val="006027B2"/>
    <w:rsid w:val="0060592C"/>
    <w:rsid w:val="0060679A"/>
    <w:rsid w:val="0061386D"/>
    <w:rsid w:val="0061585C"/>
    <w:rsid w:val="00622BA2"/>
    <w:rsid w:val="00623A30"/>
    <w:rsid w:val="0063471C"/>
    <w:rsid w:val="00647B5B"/>
    <w:rsid w:val="00655FE6"/>
    <w:rsid w:val="00665276"/>
    <w:rsid w:val="00675D99"/>
    <w:rsid w:val="00684EF0"/>
    <w:rsid w:val="00695E5E"/>
    <w:rsid w:val="00696325"/>
    <w:rsid w:val="006A3DC9"/>
    <w:rsid w:val="006A6F3F"/>
    <w:rsid w:val="006B55FD"/>
    <w:rsid w:val="006D3023"/>
    <w:rsid w:val="006D7BE8"/>
    <w:rsid w:val="00706595"/>
    <w:rsid w:val="00716555"/>
    <w:rsid w:val="007253FC"/>
    <w:rsid w:val="0073014A"/>
    <w:rsid w:val="0073131F"/>
    <w:rsid w:val="007456BC"/>
    <w:rsid w:val="00746309"/>
    <w:rsid w:val="00750B1B"/>
    <w:rsid w:val="007558E9"/>
    <w:rsid w:val="007638EE"/>
    <w:rsid w:val="00763B24"/>
    <w:rsid w:val="00777EE9"/>
    <w:rsid w:val="00791628"/>
    <w:rsid w:val="00792436"/>
    <w:rsid w:val="0079534F"/>
    <w:rsid w:val="00795E1B"/>
    <w:rsid w:val="007964D6"/>
    <w:rsid w:val="007A05D1"/>
    <w:rsid w:val="007A4084"/>
    <w:rsid w:val="007B7CD1"/>
    <w:rsid w:val="007C1D84"/>
    <w:rsid w:val="007C2623"/>
    <w:rsid w:val="007C5CEB"/>
    <w:rsid w:val="007D026E"/>
    <w:rsid w:val="007E249D"/>
    <w:rsid w:val="00802939"/>
    <w:rsid w:val="008032AB"/>
    <w:rsid w:val="00804442"/>
    <w:rsid w:val="00807F28"/>
    <w:rsid w:val="00835735"/>
    <w:rsid w:val="008508B9"/>
    <w:rsid w:val="008516C1"/>
    <w:rsid w:val="00861478"/>
    <w:rsid w:val="00863F05"/>
    <w:rsid w:val="00875917"/>
    <w:rsid w:val="008850E3"/>
    <w:rsid w:val="008947BF"/>
    <w:rsid w:val="008B0F7E"/>
    <w:rsid w:val="008B7FA6"/>
    <w:rsid w:val="008C4B88"/>
    <w:rsid w:val="008C725F"/>
    <w:rsid w:val="008D51A2"/>
    <w:rsid w:val="008D6E3B"/>
    <w:rsid w:val="009072F1"/>
    <w:rsid w:val="00907586"/>
    <w:rsid w:val="00912DDD"/>
    <w:rsid w:val="00924060"/>
    <w:rsid w:val="00931D64"/>
    <w:rsid w:val="0094108A"/>
    <w:rsid w:val="0094417A"/>
    <w:rsid w:val="009459C1"/>
    <w:rsid w:val="00947ABA"/>
    <w:rsid w:val="0095595B"/>
    <w:rsid w:val="0095621F"/>
    <w:rsid w:val="0095667B"/>
    <w:rsid w:val="0096323F"/>
    <w:rsid w:val="00981BB7"/>
    <w:rsid w:val="00984CB0"/>
    <w:rsid w:val="00994DDC"/>
    <w:rsid w:val="009A2FFE"/>
    <w:rsid w:val="009A573F"/>
    <w:rsid w:val="009B1FF1"/>
    <w:rsid w:val="009B3932"/>
    <w:rsid w:val="009B3C9B"/>
    <w:rsid w:val="009C353C"/>
    <w:rsid w:val="009D0443"/>
    <w:rsid w:val="009D0B87"/>
    <w:rsid w:val="009D5588"/>
    <w:rsid w:val="009D733A"/>
    <w:rsid w:val="009E0D3C"/>
    <w:rsid w:val="009F6B6D"/>
    <w:rsid w:val="00A02FA4"/>
    <w:rsid w:val="00A15A85"/>
    <w:rsid w:val="00A33162"/>
    <w:rsid w:val="00A434A2"/>
    <w:rsid w:val="00A509C2"/>
    <w:rsid w:val="00A50A0C"/>
    <w:rsid w:val="00A56B06"/>
    <w:rsid w:val="00A64F2B"/>
    <w:rsid w:val="00A655CC"/>
    <w:rsid w:val="00A77825"/>
    <w:rsid w:val="00A77986"/>
    <w:rsid w:val="00A842E7"/>
    <w:rsid w:val="00A84DE8"/>
    <w:rsid w:val="00A8771B"/>
    <w:rsid w:val="00AA47F7"/>
    <w:rsid w:val="00AB2A60"/>
    <w:rsid w:val="00AC303C"/>
    <w:rsid w:val="00AD4389"/>
    <w:rsid w:val="00AE2936"/>
    <w:rsid w:val="00AF4509"/>
    <w:rsid w:val="00AF45C5"/>
    <w:rsid w:val="00AF4ABF"/>
    <w:rsid w:val="00AF51FB"/>
    <w:rsid w:val="00AF6858"/>
    <w:rsid w:val="00B03006"/>
    <w:rsid w:val="00B06AB6"/>
    <w:rsid w:val="00B228FF"/>
    <w:rsid w:val="00B27FAE"/>
    <w:rsid w:val="00B30AF8"/>
    <w:rsid w:val="00B322FA"/>
    <w:rsid w:val="00B328EC"/>
    <w:rsid w:val="00B3681C"/>
    <w:rsid w:val="00B450AB"/>
    <w:rsid w:val="00B50A01"/>
    <w:rsid w:val="00B51B71"/>
    <w:rsid w:val="00B60031"/>
    <w:rsid w:val="00B67A65"/>
    <w:rsid w:val="00B72890"/>
    <w:rsid w:val="00B900B0"/>
    <w:rsid w:val="00B971E1"/>
    <w:rsid w:val="00BA23DF"/>
    <w:rsid w:val="00BA6C30"/>
    <w:rsid w:val="00BA7726"/>
    <w:rsid w:val="00BB2C3A"/>
    <w:rsid w:val="00BC3194"/>
    <w:rsid w:val="00BD443A"/>
    <w:rsid w:val="00BF0325"/>
    <w:rsid w:val="00BF5EFA"/>
    <w:rsid w:val="00BF639A"/>
    <w:rsid w:val="00C03959"/>
    <w:rsid w:val="00C11409"/>
    <w:rsid w:val="00C17A58"/>
    <w:rsid w:val="00C249DC"/>
    <w:rsid w:val="00C260FB"/>
    <w:rsid w:val="00C262B4"/>
    <w:rsid w:val="00C31409"/>
    <w:rsid w:val="00C3609C"/>
    <w:rsid w:val="00C42484"/>
    <w:rsid w:val="00C51837"/>
    <w:rsid w:val="00C54648"/>
    <w:rsid w:val="00C5767D"/>
    <w:rsid w:val="00C66EDA"/>
    <w:rsid w:val="00C67846"/>
    <w:rsid w:val="00C80367"/>
    <w:rsid w:val="00C87BEB"/>
    <w:rsid w:val="00C87D9A"/>
    <w:rsid w:val="00CA03BF"/>
    <w:rsid w:val="00CA495B"/>
    <w:rsid w:val="00CC1081"/>
    <w:rsid w:val="00CC3CBF"/>
    <w:rsid w:val="00CD0A68"/>
    <w:rsid w:val="00CF1768"/>
    <w:rsid w:val="00CF54A6"/>
    <w:rsid w:val="00D015D6"/>
    <w:rsid w:val="00D03CF7"/>
    <w:rsid w:val="00D053BE"/>
    <w:rsid w:val="00D06D59"/>
    <w:rsid w:val="00D21E86"/>
    <w:rsid w:val="00D2431E"/>
    <w:rsid w:val="00D43EA7"/>
    <w:rsid w:val="00D47683"/>
    <w:rsid w:val="00D7219A"/>
    <w:rsid w:val="00D81C89"/>
    <w:rsid w:val="00D87BF3"/>
    <w:rsid w:val="00DB416F"/>
    <w:rsid w:val="00DB48DF"/>
    <w:rsid w:val="00DB5F16"/>
    <w:rsid w:val="00DB7607"/>
    <w:rsid w:val="00DB7F60"/>
    <w:rsid w:val="00DC4E6C"/>
    <w:rsid w:val="00DD2AD7"/>
    <w:rsid w:val="00E04CA8"/>
    <w:rsid w:val="00E10BF4"/>
    <w:rsid w:val="00E1221D"/>
    <w:rsid w:val="00E1376F"/>
    <w:rsid w:val="00E14661"/>
    <w:rsid w:val="00E23B7D"/>
    <w:rsid w:val="00E27D84"/>
    <w:rsid w:val="00E45655"/>
    <w:rsid w:val="00E52713"/>
    <w:rsid w:val="00E602CA"/>
    <w:rsid w:val="00E7668D"/>
    <w:rsid w:val="00E9293B"/>
    <w:rsid w:val="00E94BD2"/>
    <w:rsid w:val="00E95536"/>
    <w:rsid w:val="00EB03F7"/>
    <w:rsid w:val="00EB11F5"/>
    <w:rsid w:val="00EB4C7F"/>
    <w:rsid w:val="00EB6746"/>
    <w:rsid w:val="00EE3468"/>
    <w:rsid w:val="00F061B0"/>
    <w:rsid w:val="00F10110"/>
    <w:rsid w:val="00F16638"/>
    <w:rsid w:val="00F42025"/>
    <w:rsid w:val="00F4240F"/>
    <w:rsid w:val="00F4472E"/>
    <w:rsid w:val="00F67C40"/>
    <w:rsid w:val="00F76403"/>
    <w:rsid w:val="00F91C4F"/>
    <w:rsid w:val="00FB56AC"/>
    <w:rsid w:val="00FB5DA6"/>
    <w:rsid w:val="00FD11B6"/>
    <w:rsid w:val="00FD1C1E"/>
    <w:rsid w:val="00FD2B61"/>
    <w:rsid w:val="00FD7620"/>
    <w:rsid w:val="00FE3E7B"/>
    <w:rsid w:val="00FF4DB0"/>
    <w:rsid w:val="1FE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3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Macau</Company>
  <Pages>7</Pages>
  <Words>372</Words>
  <Characters>2123</Characters>
  <Lines>17</Lines>
  <Paragraphs>4</Paragraphs>
  <TotalTime>3</TotalTime>
  <ScaleCrop>false</ScaleCrop>
  <LinksUpToDate>false</LinksUpToDate>
  <CharactersWithSpaces>2491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2015-08-24T04:13:00Z</dcterms:created>
  <dc:creator>UM</dc:creator>
  <cp:lastModifiedBy>骆伟建</cp:lastModifiedBy>
  <dcterms:modified xsi:type="dcterms:W3CDTF">2022-02-16T01:47:25Z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53F53619D6ED4EB0920D80DB64283070</vt:lpwstr>
  </property>
</Properties>
</file>