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9A" w:rsidRPr="002D5974" w:rsidRDefault="00B22858" w:rsidP="002B323B">
      <w:pPr>
        <w:spacing w:line="460" w:lineRule="exact"/>
        <w:jc w:val="center"/>
        <w:rPr>
          <w:b/>
          <w:sz w:val="36"/>
          <w:szCs w:val="36"/>
          <w:lang w:val="pt-PT"/>
        </w:rPr>
      </w:pPr>
      <w:bookmarkStart w:id="0" w:name="_GoBack"/>
      <w:bookmarkEnd w:id="0"/>
      <w:r w:rsidRPr="002D5974">
        <w:rPr>
          <w:rFonts w:hint="eastAsia"/>
          <w:b/>
          <w:sz w:val="36"/>
          <w:szCs w:val="36"/>
          <w:lang w:val="pt-PT"/>
        </w:rPr>
        <w:t>澳門大學法學院</w:t>
      </w:r>
    </w:p>
    <w:p w:rsidR="00847F9A" w:rsidRPr="002D5974" w:rsidRDefault="00B22858" w:rsidP="002B323B">
      <w:pPr>
        <w:spacing w:line="460" w:lineRule="exact"/>
        <w:jc w:val="center"/>
        <w:rPr>
          <w:b/>
          <w:sz w:val="36"/>
          <w:szCs w:val="36"/>
          <w:lang w:val="pt-PT"/>
        </w:rPr>
      </w:pPr>
      <w:r w:rsidRPr="002D5974">
        <w:rPr>
          <w:rFonts w:hint="eastAsia"/>
          <w:b/>
          <w:sz w:val="36"/>
          <w:szCs w:val="36"/>
          <w:lang w:val="pt-PT"/>
        </w:rPr>
        <w:t>司法實務</w:t>
      </w:r>
      <w:r w:rsidR="00847F9A" w:rsidRPr="002D5974">
        <w:rPr>
          <w:rFonts w:hint="eastAsia"/>
          <w:b/>
          <w:sz w:val="36"/>
          <w:szCs w:val="36"/>
          <w:lang w:val="pt-PT"/>
        </w:rPr>
        <w:t>課程大綱</w:t>
      </w:r>
    </w:p>
    <w:p w:rsidR="00047FAB" w:rsidRPr="002D5974" w:rsidRDefault="00047FAB" w:rsidP="002B323B">
      <w:pPr>
        <w:spacing w:line="460" w:lineRule="exact"/>
        <w:jc w:val="center"/>
        <w:rPr>
          <w:b/>
          <w:sz w:val="36"/>
          <w:szCs w:val="36"/>
          <w:lang w:val="pt-PT"/>
        </w:rPr>
      </w:pPr>
      <w:r w:rsidRPr="002D5974">
        <w:rPr>
          <w:rFonts w:hint="eastAsia"/>
          <w:b/>
          <w:sz w:val="36"/>
          <w:szCs w:val="36"/>
          <w:lang w:val="pt-PT"/>
        </w:rPr>
        <w:t>20</w:t>
      </w:r>
      <w:r w:rsidR="00313358">
        <w:rPr>
          <w:rFonts w:hint="eastAsia"/>
          <w:b/>
          <w:sz w:val="36"/>
          <w:szCs w:val="36"/>
          <w:lang w:val="pt-PT"/>
        </w:rPr>
        <w:t>2</w:t>
      </w:r>
      <w:r w:rsidR="005C037E">
        <w:rPr>
          <w:rFonts w:hint="eastAsia"/>
          <w:b/>
          <w:sz w:val="36"/>
          <w:szCs w:val="36"/>
          <w:lang w:val="pt-PT"/>
        </w:rPr>
        <w:t>1</w:t>
      </w:r>
      <w:r w:rsidRPr="002D5974">
        <w:rPr>
          <w:rFonts w:hint="eastAsia"/>
          <w:b/>
          <w:sz w:val="36"/>
          <w:szCs w:val="36"/>
          <w:lang w:val="pt-PT"/>
        </w:rPr>
        <w:t>/20</w:t>
      </w:r>
      <w:r w:rsidR="00CC1AB2" w:rsidRPr="002D5974">
        <w:rPr>
          <w:rFonts w:hint="eastAsia"/>
          <w:b/>
          <w:sz w:val="36"/>
          <w:szCs w:val="36"/>
          <w:lang w:val="pt-PT"/>
        </w:rPr>
        <w:t>2</w:t>
      </w:r>
      <w:r w:rsidR="005C037E">
        <w:rPr>
          <w:rFonts w:hint="eastAsia"/>
          <w:b/>
          <w:sz w:val="36"/>
          <w:szCs w:val="36"/>
          <w:lang w:val="pt-PT"/>
        </w:rPr>
        <w:t>2</w:t>
      </w:r>
    </w:p>
    <w:p w:rsidR="005B2EFD" w:rsidRPr="002D5974" w:rsidRDefault="005B2EFD" w:rsidP="002B323B">
      <w:pPr>
        <w:spacing w:line="460" w:lineRule="exact"/>
        <w:jc w:val="center"/>
        <w:rPr>
          <w:b/>
          <w:sz w:val="28"/>
          <w:szCs w:val="28"/>
          <w:lang w:val="pt-PT"/>
        </w:rPr>
      </w:pPr>
    </w:p>
    <w:p w:rsidR="00CA746E" w:rsidRPr="002D5974" w:rsidRDefault="00B22858" w:rsidP="002B323B">
      <w:pPr>
        <w:pStyle w:val="ae"/>
        <w:numPr>
          <w:ilvl w:val="0"/>
          <w:numId w:val="14"/>
        </w:numPr>
        <w:tabs>
          <w:tab w:val="left" w:leader="dot" w:pos="7920"/>
        </w:tabs>
        <w:spacing w:beforeLines="50" w:before="180" w:line="460" w:lineRule="exact"/>
        <w:ind w:leftChars="0"/>
        <w:jc w:val="both"/>
        <w:rPr>
          <w:b/>
          <w:sz w:val="28"/>
          <w:szCs w:val="28"/>
        </w:rPr>
      </w:pPr>
      <w:r w:rsidRPr="002D5974">
        <w:rPr>
          <w:rFonts w:hint="eastAsia"/>
          <w:b/>
          <w:sz w:val="28"/>
          <w:szCs w:val="28"/>
        </w:rPr>
        <w:t>澳門司法機關概況</w:t>
      </w:r>
    </w:p>
    <w:p w:rsidR="00CC1AB2" w:rsidRPr="002D5974" w:rsidRDefault="00CC1AB2" w:rsidP="002B323B">
      <w:pPr>
        <w:pStyle w:val="ae"/>
        <w:tabs>
          <w:tab w:val="left" w:leader="dot" w:pos="7920"/>
        </w:tabs>
        <w:spacing w:beforeLines="50" w:before="180" w:line="460" w:lineRule="exact"/>
        <w:ind w:leftChars="0" w:left="0" w:firstLineChars="131" w:firstLine="367"/>
        <w:jc w:val="both"/>
        <w:rPr>
          <w:rFonts w:ascii="標楷體" w:eastAsia="標楷體" w:hAnsi="標楷體"/>
          <w:sz w:val="28"/>
          <w:szCs w:val="28"/>
        </w:rPr>
      </w:pPr>
      <w:r w:rsidRPr="002D5974">
        <w:rPr>
          <w:rFonts w:eastAsia="標楷體" w:hint="eastAsia"/>
          <w:sz w:val="28"/>
          <w:szCs w:val="28"/>
        </w:rPr>
        <w:t>回歸後，澳門的司法體制根據</w:t>
      </w:r>
      <w:r w:rsidRPr="002D5974">
        <w:rPr>
          <w:rFonts w:ascii="標楷體" w:eastAsia="標楷體" w:hAnsi="標楷體" w:hint="eastAsia"/>
          <w:sz w:val="28"/>
          <w:szCs w:val="28"/>
        </w:rPr>
        <w:t>《基本法》的規定進行了重組，表現在：</w:t>
      </w:r>
    </w:p>
    <w:p w:rsidR="00CC1AB2" w:rsidRPr="002D5974" w:rsidRDefault="00CC1AB2" w:rsidP="002B323B">
      <w:pPr>
        <w:pStyle w:val="ae"/>
        <w:numPr>
          <w:ilvl w:val="0"/>
          <w:numId w:val="15"/>
        </w:numPr>
        <w:tabs>
          <w:tab w:val="left" w:leader="dot" w:pos="7920"/>
        </w:tabs>
        <w:spacing w:beforeLines="50" w:before="180" w:line="460" w:lineRule="exact"/>
        <w:ind w:leftChars="0"/>
        <w:jc w:val="both"/>
        <w:rPr>
          <w:rFonts w:eastAsia="標楷體"/>
          <w:sz w:val="28"/>
          <w:szCs w:val="28"/>
        </w:rPr>
      </w:pPr>
      <w:r w:rsidRPr="002D5974">
        <w:rPr>
          <w:rFonts w:eastAsia="標楷體"/>
          <w:sz w:val="28"/>
          <w:szCs w:val="28"/>
        </w:rPr>
        <w:t>正式確立了三級法院體制，分別為終審法院、中級法院和第一審法院；</w:t>
      </w:r>
      <w:r w:rsidRPr="002D5974">
        <w:rPr>
          <w:rFonts w:ascii="標楷體" w:eastAsia="標楷體" w:hAnsi="標楷體" w:hint="eastAsia"/>
          <w:sz w:val="28"/>
          <w:szCs w:val="28"/>
        </w:rPr>
        <w:t>第</w:t>
      </w:r>
      <w:r w:rsidRPr="002D5974">
        <w:rPr>
          <w:rFonts w:eastAsia="標楷體"/>
          <w:sz w:val="28"/>
          <w:szCs w:val="28"/>
        </w:rPr>
        <w:t>一審法院由初級法院和行政法院組成；原刑事預審法院在更名為刑事起訴法庭後被併入初級法院（第</w:t>
      </w:r>
      <w:r w:rsidRPr="002D5974">
        <w:rPr>
          <w:rFonts w:eastAsia="標楷體"/>
          <w:sz w:val="28"/>
          <w:szCs w:val="28"/>
        </w:rPr>
        <w:t>9/1999</w:t>
      </w:r>
      <w:r w:rsidRPr="002D5974">
        <w:rPr>
          <w:rFonts w:eastAsia="標楷體"/>
          <w:sz w:val="28"/>
          <w:szCs w:val="28"/>
        </w:rPr>
        <w:t>號法律</w:t>
      </w:r>
      <w:r w:rsidRPr="002D5974">
        <w:rPr>
          <w:rStyle w:val="ac"/>
          <w:rFonts w:eastAsia="標楷體"/>
          <w:sz w:val="28"/>
          <w:szCs w:val="28"/>
        </w:rPr>
        <w:footnoteReference w:id="1"/>
      </w:r>
      <w:r w:rsidRPr="002D5974">
        <w:rPr>
          <w:rFonts w:eastAsia="標楷體"/>
          <w:sz w:val="28"/>
          <w:szCs w:val="28"/>
        </w:rPr>
        <w:t>第</w:t>
      </w:r>
      <w:r w:rsidRPr="002D5974">
        <w:rPr>
          <w:rFonts w:eastAsia="標楷體"/>
          <w:sz w:val="28"/>
          <w:szCs w:val="28"/>
        </w:rPr>
        <w:t>27</w:t>
      </w:r>
      <w:r w:rsidRPr="002D5974">
        <w:rPr>
          <w:rFonts w:eastAsia="標楷體"/>
          <w:sz w:val="28"/>
          <w:szCs w:val="28"/>
        </w:rPr>
        <w:t>條、第</w:t>
      </w:r>
      <w:r w:rsidRPr="002D5974">
        <w:rPr>
          <w:rFonts w:eastAsia="標楷體"/>
          <w:sz w:val="28"/>
          <w:szCs w:val="28"/>
        </w:rPr>
        <w:t>36</w:t>
      </w:r>
      <w:r w:rsidRPr="002D5974">
        <w:rPr>
          <w:rFonts w:eastAsia="標楷體"/>
          <w:sz w:val="28"/>
          <w:szCs w:val="28"/>
        </w:rPr>
        <w:t>條及第</w:t>
      </w:r>
      <w:r w:rsidRPr="002D5974">
        <w:rPr>
          <w:rFonts w:eastAsia="標楷體"/>
          <w:sz w:val="28"/>
          <w:szCs w:val="28"/>
        </w:rPr>
        <w:t>44</w:t>
      </w:r>
      <w:r w:rsidRPr="002D5974">
        <w:rPr>
          <w:rFonts w:eastAsia="標楷體"/>
          <w:sz w:val="28"/>
          <w:szCs w:val="28"/>
        </w:rPr>
        <w:t>條）；</w:t>
      </w:r>
    </w:p>
    <w:p w:rsidR="00CC1AB2" w:rsidRPr="002D5974" w:rsidRDefault="00CC1AB2" w:rsidP="002B323B">
      <w:pPr>
        <w:pStyle w:val="ae"/>
        <w:numPr>
          <w:ilvl w:val="0"/>
          <w:numId w:val="15"/>
        </w:numPr>
        <w:tabs>
          <w:tab w:val="left" w:leader="dot" w:pos="7920"/>
        </w:tabs>
        <w:spacing w:beforeLines="50" w:before="180" w:line="460" w:lineRule="exact"/>
        <w:ind w:leftChars="0"/>
        <w:jc w:val="both"/>
        <w:rPr>
          <w:rFonts w:eastAsia="標楷體"/>
          <w:sz w:val="28"/>
          <w:szCs w:val="28"/>
        </w:rPr>
      </w:pPr>
      <w:r w:rsidRPr="002D5974">
        <w:rPr>
          <w:rFonts w:eastAsia="標楷體"/>
          <w:sz w:val="28"/>
          <w:szCs w:val="28"/>
        </w:rPr>
        <w:t>撤銷審計法院，並依照</w:t>
      </w:r>
      <w:r w:rsidRPr="002D5974">
        <w:rPr>
          <w:rFonts w:eastAsia="標楷體" w:hAnsi="標楷體"/>
          <w:sz w:val="28"/>
          <w:szCs w:val="28"/>
        </w:rPr>
        <w:t>《基本法》第</w:t>
      </w:r>
      <w:r w:rsidRPr="002D5974">
        <w:rPr>
          <w:rFonts w:eastAsia="標楷體"/>
          <w:sz w:val="28"/>
          <w:szCs w:val="28"/>
        </w:rPr>
        <w:t>60</w:t>
      </w:r>
      <w:r w:rsidRPr="002D5974">
        <w:rPr>
          <w:rFonts w:eastAsia="標楷體" w:hAnsi="標楷體"/>
          <w:sz w:val="28"/>
          <w:szCs w:val="28"/>
        </w:rPr>
        <w:t>條的規定設立審計署</w:t>
      </w:r>
      <w:r w:rsidRPr="002D5974">
        <w:rPr>
          <w:rFonts w:eastAsia="標楷體" w:hAnsi="標楷體" w:hint="eastAsia"/>
          <w:sz w:val="28"/>
          <w:szCs w:val="28"/>
        </w:rPr>
        <w:t>；</w:t>
      </w:r>
    </w:p>
    <w:p w:rsidR="00CC1AB2" w:rsidRPr="002D5974" w:rsidRDefault="00CC1AB2" w:rsidP="002B323B">
      <w:pPr>
        <w:pStyle w:val="ae"/>
        <w:numPr>
          <w:ilvl w:val="0"/>
          <w:numId w:val="15"/>
        </w:numPr>
        <w:tabs>
          <w:tab w:val="left" w:leader="dot" w:pos="7920"/>
        </w:tabs>
        <w:spacing w:beforeLines="50" w:before="180" w:line="460" w:lineRule="exact"/>
        <w:ind w:leftChars="0"/>
        <w:jc w:val="both"/>
        <w:rPr>
          <w:rFonts w:eastAsia="標楷體"/>
          <w:sz w:val="28"/>
          <w:szCs w:val="28"/>
        </w:rPr>
      </w:pPr>
      <w:r w:rsidRPr="002D5974">
        <w:rPr>
          <w:rFonts w:eastAsia="標楷體" w:hAnsi="標楷體" w:hint="eastAsia"/>
          <w:sz w:val="28"/>
          <w:szCs w:val="28"/>
        </w:rPr>
        <w:t>刑事判決之執行方面的許可權被賦予了刑事起訴法庭（</w:t>
      </w:r>
      <w:r w:rsidRPr="002D5974">
        <w:rPr>
          <w:rFonts w:eastAsia="標楷體" w:hAnsi="標楷體"/>
          <w:sz w:val="28"/>
          <w:szCs w:val="28"/>
        </w:rPr>
        <w:t>第</w:t>
      </w:r>
      <w:r w:rsidRPr="002D5974">
        <w:rPr>
          <w:rFonts w:eastAsia="標楷體"/>
          <w:sz w:val="28"/>
          <w:szCs w:val="28"/>
        </w:rPr>
        <w:t>9/1999</w:t>
      </w:r>
      <w:r w:rsidRPr="002D5974">
        <w:rPr>
          <w:rFonts w:eastAsia="標楷體" w:hAnsi="標楷體"/>
          <w:sz w:val="28"/>
          <w:szCs w:val="28"/>
        </w:rPr>
        <w:t>號法律</w:t>
      </w:r>
      <w:r w:rsidRPr="002D5974">
        <w:rPr>
          <w:rFonts w:eastAsia="標楷體" w:hAnsi="標楷體" w:hint="eastAsia"/>
          <w:sz w:val="28"/>
          <w:szCs w:val="28"/>
        </w:rPr>
        <w:t>第</w:t>
      </w:r>
      <w:r w:rsidRPr="002D5974">
        <w:rPr>
          <w:rFonts w:eastAsia="標楷體" w:hAnsi="標楷體" w:hint="eastAsia"/>
          <w:sz w:val="28"/>
          <w:szCs w:val="28"/>
        </w:rPr>
        <w:t>29</w:t>
      </w:r>
      <w:r w:rsidRPr="002D5974">
        <w:rPr>
          <w:rFonts w:eastAsia="標楷體" w:hAnsi="標楷體" w:hint="eastAsia"/>
          <w:sz w:val="28"/>
          <w:szCs w:val="28"/>
        </w:rPr>
        <w:t>條第</w:t>
      </w:r>
      <w:r w:rsidRPr="002D5974">
        <w:rPr>
          <w:rFonts w:eastAsia="標楷體" w:hAnsi="標楷體" w:hint="eastAsia"/>
          <w:sz w:val="28"/>
          <w:szCs w:val="28"/>
        </w:rPr>
        <w:t>2</w:t>
      </w:r>
      <w:r w:rsidRPr="002D5974">
        <w:rPr>
          <w:rFonts w:eastAsia="標楷體" w:hAnsi="標楷體" w:hint="eastAsia"/>
          <w:sz w:val="28"/>
          <w:szCs w:val="28"/>
        </w:rPr>
        <w:t>款）；</w:t>
      </w:r>
    </w:p>
    <w:p w:rsidR="00CC1AB2" w:rsidRPr="002D5974" w:rsidRDefault="00CC1AB2" w:rsidP="002B323B">
      <w:pPr>
        <w:pStyle w:val="ae"/>
        <w:numPr>
          <w:ilvl w:val="0"/>
          <w:numId w:val="15"/>
        </w:numPr>
        <w:tabs>
          <w:tab w:val="left" w:leader="dot" w:pos="7920"/>
        </w:tabs>
        <w:spacing w:beforeLines="50" w:before="180" w:line="460" w:lineRule="exact"/>
        <w:ind w:leftChars="0"/>
        <w:jc w:val="both"/>
        <w:rPr>
          <w:rFonts w:eastAsia="標楷體"/>
          <w:sz w:val="28"/>
          <w:szCs w:val="28"/>
        </w:rPr>
      </w:pPr>
      <w:r w:rsidRPr="002D5974">
        <w:rPr>
          <w:rFonts w:eastAsia="標楷體" w:hAnsi="標楷體" w:hint="eastAsia"/>
          <w:sz w:val="28"/>
          <w:szCs w:val="28"/>
        </w:rPr>
        <w:t>檢察院確定了</w:t>
      </w:r>
      <w:proofErr w:type="gramStart"/>
      <w:r w:rsidRPr="002D5974">
        <w:rPr>
          <w:rFonts w:eastAsia="標楷體" w:hAnsi="標楷體" w:hint="eastAsia"/>
          <w:sz w:val="28"/>
          <w:szCs w:val="28"/>
        </w:rPr>
        <w:t>一</w:t>
      </w:r>
      <w:proofErr w:type="gramEnd"/>
      <w:r w:rsidRPr="002D5974">
        <w:rPr>
          <w:rFonts w:eastAsia="標楷體" w:hAnsi="標楷體" w:hint="eastAsia"/>
          <w:sz w:val="28"/>
          <w:szCs w:val="28"/>
        </w:rPr>
        <w:t>院建制、三級派任的組織架構與運作模式（同上法律第</w:t>
      </w:r>
      <w:r w:rsidRPr="002D5974">
        <w:rPr>
          <w:rFonts w:eastAsia="標楷體" w:hAnsi="標楷體" w:hint="eastAsia"/>
          <w:sz w:val="28"/>
          <w:szCs w:val="28"/>
        </w:rPr>
        <w:t>57</w:t>
      </w:r>
      <w:r w:rsidRPr="002D5974">
        <w:rPr>
          <w:rFonts w:eastAsia="標楷體" w:hAnsi="標楷體" w:hint="eastAsia"/>
          <w:sz w:val="28"/>
          <w:szCs w:val="28"/>
        </w:rPr>
        <w:t>條第</w:t>
      </w:r>
      <w:r w:rsidRPr="002D5974">
        <w:rPr>
          <w:rFonts w:eastAsia="標楷體" w:hAnsi="標楷體" w:hint="eastAsia"/>
          <w:sz w:val="28"/>
          <w:szCs w:val="28"/>
        </w:rPr>
        <w:t>1</w:t>
      </w:r>
      <w:r w:rsidRPr="002D5974">
        <w:rPr>
          <w:rFonts w:eastAsia="標楷體" w:hAnsi="標楷體" w:hint="eastAsia"/>
          <w:sz w:val="28"/>
          <w:szCs w:val="28"/>
        </w:rPr>
        <w:t>款）；雖然保留了原來的派駐模式，在各級法院中設立了辦事處，但成立了一個統一建制的檢察院</w:t>
      </w:r>
      <w:r w:rsidRPr="002D5974">
        <w:rPr>
          <w:rFonts w:eastAsia="標楷體"/>
          <w:sz w:val="28"/>
          <w:szCs w:val="28"/>
        </w:rPr>
        <w:t>。</w:t>
      </w:r>
    </w:p>
    <w:p w:rsidR="00CC1AB2" w:rsidRPr="002D5974" w:rsidRDefault="00410216" w:rsidP="002B323B">
      <w:pPr>
        <w:pStyle w:val="ae"/>
        <w:tabs>
          <w:tab w:val="left" w:leader="dot" w:pos="7920"/>
        </w:tabs>
        <w:spacing w:beforeLines="50" w:before="180" w:line="460" w:lineRule="exact"/>
        <w:ind w:leftChars="0" w:left="0" w:firstLineChars="131" w:firstLine="367"/>
        <w:jc w:val="both"/>
        <w:rPr>
          <w:sz w:val="28"/>
          <w:szCs w:val="28"/>
        </w:rPr>
      </w:pPr>
      <w:r w:rsidRPr="002D5974">
        <w:rPr>
          <w:rFonts w:hint="eastAsia"/>
          <w:sz w:val="28"/>
          <w:szCs w:val="28"/>
        </w:rPr>
        <w:t>專門法庭的設立</w:t>
      </w:r>
    </w:p>
    <w:p w:rsidR="00410216" w:rsidRPr="002D5974" w:rsidRDefault="00410216" w:rsidP="002B323B">
      <w:pPr>
        <w:spacing w:beforeLines="50" w:before="180" w:line="460" w:lineRule="exact"/>
        <w:ind w:firstLine="419"/>
        <w:jc w:val="both"/>
        <w:rPr>
          <w:rFonts w:eastAsia="標楷體"/>
          <w:sz w:val="28"/>
          <w:szCs w:val="28"/>
        </w:rPr>
      </w:pPr>
      <w:r w:rsidRPr="002D5974">
        <w:rPr>
          <w:rFonts w:ascii="標楷體" w:eastAsia="標楷體" w:hAnsi="標楷體" w:hint="eastAsia"/>
          <w:sz w:val="28"/>
          <w:szCs w:val="28"/>
        </w:rPr>
        <w:lastRenderedPageBreak/>
        <w:t>由於經濟和社會發展、人口的迅速增長，帶來大量的爭端和訴訟案件，法官、檢察官及</w:t>
      </w:r>
      <w:proofErr w:type="gramStart"/>
      <w:r w:rsidRPr="002D5974">
        <w:rPr>
          <w:rFonts w:ascii="標楷體" w:eastAsia="標楷體" w:hAnsi="標楷體" w:hint="eastAsia"/>
          <w:sz w:val="28"/>
          <w:szCs w:val="28"/>
        </w:rPr>
        <w:t>司法文員超</w:t>
      </w:r>
      <w:proofErr w:type="gramEnd"/>
      <w:r w:rsidRPr="002D5974">
        <w:rPr>
          <w:rFonts w:ascii="標楷體" w:eastAsia="標楷體" w:hAnsi="標楷體" w:hint="eastAsia"/>
          <w:sz w:val="28"/>
          <w:szCs w:val="28"/>
        </w:rPr>
        <w:t>負荷的工作情況日益嚴峻</w:t>
      </w:r>
      <w:r w:rsidRPr="002D5974">
        <w:rPr>
          <w:rFonts w:eastAsia="標楷體"/>
          <w:sz w:val="28"/>
          <w:szCs w:val="28"/>
        </w:rPr>
        <w:t>。</w:t>
      </w:r>
    </w:p>
    <w:p w:rsidR="00410216" w:rsidRPr="002D5974" w:rsidRDefault="00410216" w:rsidP="002B323B">
      <w:pPr>
        <w:spacing w:beforeLines="50" w:before="180" w:line="460" w:lineRule="exact"/>
        <w:ind w:firstLine="480"/>
        <w:jc w:val="both"/>
        <w:rPr>
          <w:rFonts w:eastAsia="標楷體"/>
          <w:sz w:val="28"/>
          <w:szCs w:val="28"/>
        </w:rPr>
      </w:pPr>
      <w:r w:rsidRPr="002D5974">
        <w:rPr>
          <w:rFonts w:eastAsia="標楷體" w:hint="eastAsia"/>
          <w:sz w:val="28"/>
          <w:szCs w:val="28"/>
        </w:rPr>
        <w:t>為回應社會的訴求及有效解決法院案件堆積的問題，透過第</w:t>
      </w:r>
      <w:r w:rsidRPr="002D5974">
        <w:rPr>
          <w:rFonts w:eastAsia="標楷體" w:hint="eastAsia"/>
          <w:sz w:val="28"/>
          <w:szCs w:val="28"/>
        </w:rPr>
        <w:t>9/2004</w:t>
      </w:r>
      <w:r w:rsidRPr="002D5974">
        <w:rPr>
          <w:rFonts w:eastAsia="標楷體" w:hint="eastAsia"/>
          <w:sz w:val="28"/>
          <w:szCs w:val="28"/>
        </w:rPr>
        <w:t>號法律對</w:t>
      </w:r>
      <w:r w:rsidRPr="002D5974">
        <w:rPr>
          <w:rFonts w:ascii="標楷體" w:eastAsia="標楷體" w:hAnsi="標楷體" w:hint="eastAsia"/>
          <w:sz w:val="28"/>
          <w:szCs w:val="28"/>
        </w:rPr>
        <w:t>《司法組織綱要法》及《民事訴訟法典》的修改，設立了輕微民事案件法庭及專門法庭，以便平衡一</w:t>
      </w:r>
      <w:r w:rsidRPr="002D5974">
        <w:rPr>
          <w:rFonts w:eastAsia="標楷體" w:hAnsi="標楷體"/>
          <w:sz w:val="28"/>
          <w:szCs w:val="28"/>
        </w:rPr>
        <w:t>直存在的結案率不平衡的問題；新的專門法庭</w:t>
      </w:r>
      <w:r w:rsidR="0031259E" w:rsidRPr="002D5974">
        <w:rPr>
          <w:rFonts w:eastAsia="標楷體" w:hAnsi="標楷體"/>
          <w:sz w:val="28"/>
          <w:szCs w:val="28"/>
        </w:rPr>
        <w:t>（</w:t>
      </w:r>
      <w:r w:rsidR="0031259E" w:rsidRPr="002D5974">
        <w:rPr>
          <w:rFonts w:ascii="標楷體" w:eastAsia="標楷體" w:hAnsi="標楷體" w:hint="eastAsia"/>
          <w:sz w:val="28"/>
          <w:szCs w:val="28"/>
        </w:rPr>
        <w:t>輕微民事</w:t>
      </w:r>
      <w:r w:rsidR="0031259E" w:rsidRPr="002D5974">
        <w:rPr>
          <w:rFonts w:ascii="標楷體" w:eastAsia="標楷體" w:hAnsi="標楷體" w:hint="eastAsia"/>
          <w:sz w:val="28"/>
          <w:szCs w:val="28"/>
          <w:lang w:eastAsia="zh-HK"/>
        </w:rPr>
        <w:t>法庭</w:t>
      </w:r>
      <w:r w:rsidR="0031259E" w:rsidRPr="002D5974">
        <w:rPr>
          <w:rFonts w:eastAsia="標楷體" w:hAnsi="標楷體"/>
          <w:sz w:val="28"/>
          <w:szCs w:val="28"/>
        </w:rPr>
        <w:t>）</w:t>
      </w:r>
      <w:r w:rsidRPr="002D5974">
        <w:rPr>
          <w:rFonts w:eastAsia="標楷體" w:hAnsi="標楷體"/>
          <w:sz w:val="28"/>
          <w:szCs w:val="28"/>
        </w:rPr>
        <w:t>於</w:t>
      </w:r>
      <w:smartTag w:uri="urn:schemas-microsoft-com:office:smarttags" w:element="chsdate">
        <w:smartTagPr>
          <w:attr w:name="Year" w:val="2005"/>
          <w:attr w:name="Month" w:val="1"/>
          <w:attr w:name="Day" w:val="4"/>
          <w:attr w:name="IsLunarDate" w:val="False"/>
          <w:attr w:name="IsROCDate" w:val="False"/>
        </w:smartTagPr>
        <w:r w:rsidRPr="002D5974">
          <w:rPr>
            <w:rFonts w:eastAsia="標楷體"/>
            <w:sz w:val="28"/>
            <w:szCs w:val="28"/>
          </w:rPr>
          <w:t>2005</w:t>
        </w:r>
        <w:r w:rsidRPr="002D5974">
          <w:rPr>
            <w:rFonts w:eastAsia="標楷體" w:hAnsi="標楷體"/>
            <w:sz w:val="28"/>
            <w:szCs w:val="28"/>
          </w:rPr>
          <w:t>年</w:t>
        </w:r>
        <w:r w:rsidRPr="002D5974">
          <w:rPr>
            <w:rFonts w:eastAsia="標楷體"/>
            <w:sz w:val="28"/>
            <w:szCs w:val="28"/>
          </w:rPr>
          <w:t>1</w:t>
        </w:r>
        <w:r w:rsidRPr="002D5974">
          <w:rPr>
            <w:rFonts w:eastAsia="標楷體" w:hAnsi="標楷體"/>
            <w:sz w:val="28"/>
            <w:szCs w:val="28"/>
          </w:rPr>
          <w:t>月</w:t>
        </w:r>
        <w:r w:rsidRPr="002D5974">
          <w:rPr>
            <w:rFonts w:eastAsia="標楷體"/>
            <w:sz w:val="28"/>
            <w:szCs w:val="28"/>
          </w:rPr>
          <w:t>4</w:t>
        </w:r>
        <w:r w:rsidRPr="002D5974">
          <w:rPr>
            <w:rFonts w:eastAsia="標楷體" w:hAnsi="標楷體"/>
            <w:sz w:val="28"/>
            <w:szCs w:val="28"/>
          </w:rPr>
          <w:t>日</w:t>
        </w:r>
      </w:smartTag>
      <w:r w:rsidRPr="002D5974">
        <w:rPr>
          <w:rFonts w:eastAsia="標楷體" w:hAnsi="標楷體"/>
          <w:sz w:val="28"/>
          <w:szCs w:val="28"/>
        </w:rPr>
        <w:t>正式投入運作，</w:t>
      </w:r>
      <w:r w:rsidRPr="002D5974">
        <w:rPr>
          <w:rFonts w:eastAsia="標楷體" w:hAnsi="標楷體" w:hint="eastAsia"/>
          <w:sz w:val="28"/>
          <w:szCs w:val="28"/>
          <w:lang w:eastAsia="zh-HK"/>
        </w:rPr>
        <w:t>其他的專門法庭</w:t>
      </w:r>
      <w:r w:rsidR="008E2B2C" w:rsidRPr="002D5974">
        <w:rPr>
          <w:rFonts w:eastAsia="標楷體" w:hAnsi="標楷體" w:hint="eastAsia"/>
          <w:sz w:val="28"/>
          <w:szCs w:val="28"/>
        </w:rPr>
        <w:t>（</w:t>
      </w:r>
      <w:r w:rsidR="008E2B2C" w:rsidRPr="002D5974">
        <w:rPr>
          <w:rFonts w:eastAsia="標楷體" w:hAnsi="標楷體" w:hint="eastAsia"/>
          <w:sz w:val="28"/>
          <w:szCs w:val="28"/>
          <w:lang w:eastAsia="zh-HK"/>
        </w:rPr>
        <w:t>勞動法庭、家</w:t>
      </w:r>
      <w:r w:rsidR="002E1667" w:rsidRPr="002D5974">
        <w:rPr>
          <w:rFonts w:eastAsia="標楷體" w:hAnsi="標楷體" w:hint="eastAsia"/>
          <w:sz w:val="28"/>
          <w:szCs w:val="28"/>
          <w:lang w:eastAsia="zh-HK"/>
        </w:rPr>
        <w:t>庭</w:t>
      </w:r>
      <w:r w:rsidR="008E2B2C" w:rsidRPr="002D5974">
        <w:rPr>
          <w:rFonts w:eastAsia="標楷體" w:hAnsi="標楷體" w:hint="eastAsia"/>
          <w:sz w:val="28"/>
          <w:szCs w:val="28"/>
          <w:lang w:eastAsia="zh-HK"/>
        </w:rPr>
        <w:t>及未成年人法庭等）</w:t>
      </w:r>
      <w:r w:rsidRPr="002D5974">
        <w:rPr>
          <w:rFonts w:eastAsia="標楷體" w:hAnsi="標楷體" w:hint="eastAsia"/>
          <w:sz w:val="28"/>
          <w:szCs w:val="28"/>
          <w:lang w:eastAsia="zh-HK"/>
        </w:rPr>
        <w:t>也在隨後的時間陸續成立及運作</w:t>
      </w:r>
      <w:r w:rsidRPr="002D5974">
        <w:rPr>
          <w:rFonts w:eastAsia="標楷體"/>
          <w:sz w:val="28"/>
          <w:szCs w:val="28"/>
        </w:rPr>
        <w:t>。</w:t>
      </w:r>
    </w:p>
    <w:p w:rsidR="00410216" w:rsidRPr="002D5974" w:rsidRDefault="00410216" w:rsidP="002B323B">
      <w:pPr>
        <w:pStyle w:val="ae"/>
        <w:tabs>
          <w:tab w:val="left" w:leader="dot" w:pos="7920"/>
        </w:tabs>
        <w:spacing w:beforeLines="50" w:before="180" w:line="460" w:lineRule="exact"/>
        <w:ind w:leftChars="0" w:left="0" w:firstLineChars="131" w:firstLine="367"/>
        <w:jc w:val="both"/>
        <w:rPr>
          <w:rFonts w:eastAsia="標楷體"/>
          <w:sz w:val="28"/>
          <w:szCs w:val="28"/>
        </w:rPr>
      </w:pPr>
      <w:r w:rsidRPr="002D5974">
        <w:rPr>
          <w:rFonts w:eastAsia="標楷體" w:hint="eastAsia"/>
          <w:sz w:val="28"/>
          <w:szCs w:val="28"/>
        </w:rPr>
        <w:t>在此之前，所有負責初級法院（回歸前為普通管轄法院）審判工作的法官，須同時負責刑事及民事案件的審判工作，</w:t>
      </w:r>
      <w:proofErr w:type="gramStart"/>
      <w:r w:rsidRPr="002D5974">
        <w:rPr>
          <w:rFonts w:eastAsia="標楷體" w:hint="eastAsia"/>
          <w:sz w:val="28"/>
          <w:szCs w:val="28"/>
        </w:rPr>
        <w:t>鑑</w:t>
      </w:r>
      <w:proofErr w:type="gramEnd"/>
      <w:r w:rsidRPr="002D5974">
        <w:rPr>
          <w:rFonts w:eastAsia="標楷體" w:hint="eastAsia"/>
          <w:sz w:val="28"/>
          <w:szCs w:val="28"/>
        </w:rPr>
        <w:t>於大部分刑事案件本身具有緊急性，而民事案件則需要長時間對書面文件進行分析，且也涉及大量的文書程序的往來，民事程序也基於當事人請求原則而</w:t>
      </w:r>
      <w:r w:rsidR="008E65FE">
        <w:rPr>
          <w:rFonts w:eastAsia="標楷體" w:hint="eastAsia"/>
          <w:sz w:val="28"/>
          <w:szCs w:val="28"/>
        </w:rPr>
        <w:t>令</w:t>
      </w:r>
      <w:r w:rsidRPr="002D5974">
        <w:rPr>
          <w:rFonts w:eastAsia="標楷體" w:hint="eastAsia"/>
          <w:sz w:val="28"/>
          <w:szCs w:val="28"/>
        </w:rPr>
        <w:t>法院處於相對被動的位置，在這兩種緩急性質不一的工作環境下，</w:t>
      </w:r>
      <w:r w:rsidR="008E65FE">
        <w:rPr>
          <w:rFonts w:eastAsia="標楷體" w:hint="eastAsia"/>
          <w:sz w:val="28"/>
          <w:szCs w:val="28"/>
        </w:rPr>
        <w:t>便有可能</w:t>
      </w:r>
      <w:r w:rsidRPr="002D5974">
        <w:rPr>
          <w:rFonts w:eastAsia="標楷體" w:hint="eastAsia"/>
          <w:sz w:val="28"/>
          <w:szCs w:val="28"/>
        </w:rPr>
        <w:t>造成結案率不平衡的</w:t>
      </w:r>
      <w:r w:rsidR="008E65FE">
        <w:rPr>
          <w:rFonts w:eastAsia="標楷體" w:hint="eastAsia"/>
          <w:sz w:val="28"/>
          <w:szCs w:val="28"/>
        </w:rPr>
        <w:t>情況</w:t>
      </w:r>
      <w:r w:rsidRPr="002D5974">
        <w:rPr>
          <w:rFonts w:eastAsia="標楷體"/>
          <w:sz w:val="28"/>
          <w:szCs w:val="28"/>
        </w:rPr>
        <w:t>。</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rFonts w:eastAsia="標楷體"/>
          <w:sz w:val="28"/>
          <w:szCs w:val="28"/>
        </w:rPr>
      </w:pPr>
    </w:p>
    <w:p w:rsidR="00CC1AB2" w:rsidRPr="002D5974" w:rsidRDefault="00D13900" w:rsidP="002B323B">
      <w:pPr>
        <w:pStyle w:val="ae"/>
        <w:numPr>
          <w:ilvl w:val="0"/>
          <w:numId w:val="14"/>
        </w:numPr>
        <w:tabs>
          <w:tab w:val="left" w:leader="dot" w:pos="7920"/>
        </w:tabs>
        <w:spacing w:beforeLines="50" w:before="180" w:line="460" w:lineRule="exact"/>
        <w:ind w:leftChars="0"/>
        <w:jc w:val="both"/>
        <w:rPr>
          <w:b/>
          <w:sz w:val="28"/>
          <w:szCs w:val="28"/>
        </w:rPr>
      </w:pPr>
      <w:r w:rsidRPr="002D5974">
        <w:rPr>
          <w:rFonts w:hint="eastAsia"/>
          <w:b/>
          <w:sz w:val="28"/>
          <w:szCs w:val="28"/>
          <w:lang w:val="pt-PT"/>
        </w:rPr>
        <w:t>法院的職責</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rFonts w:eastAsia="標楷體" w:hAnsi="標楷體"/>
          <w:sz w:val="28"/>
          <w:szCs w:val="28"/>
        </w:rPr>
      </w:pPr>
      <w:r w:rsidRPr="002D5974">
        <w:rPr>
          <w:rFonts w:eastAsia="標楷體" w:hint="eastAsia"/>
          <w:sz w:val="28"/>
          <w:szCs w:val="28"/>
          <w:lang w:val="pt-PT"/>
        </w:rPr>
        <w:t>澳門“回歸”，使本澳的司法權不論在性質上或是在範圍上都發生了深刻的變化；</w:t>
      </w:r>
      <w:r w:rsidRPr="002D5974">
        <w:rPr>
          <w:rFonts w:eastAsia="標楷體" w:hAnsi="標楷體"/>
          <w:sz w:val="28"/>
          <w:szCs w:val="28"/>
        </w:rPr>
        <w:t>《</w:t>
      </w:r>
      <w:r w:rsidRPr="002D5974">
        <w:rPr>
          <w:rFonts w:eastAsia="標楷體" w:hAnsi="標楷體" w:hint="eastAsia"/>
          <w:sz w:val="28"/>
          <w:szCs w:val="28"/>
        </w:rPr>
        <w:t>澳門基本法</w:t>
      </w:r>
      <w:r w:rsidRPr="002D5974">
        <w:rPr>
          <w:rFonts w:eastAsia="標楷體" w:hAnsi="標楷體"/>
          <w:sz w:val="28"/>
          <w:szCs w:val="28"/>
        </w:rPr>
        <w:t>》</w:t>
      </w:r>
      <w:r w:rsidRPr="002D5974">
        <w:rPr>
          <w:rFonts w:eastAsia="標楷體" w:hAnsi="標楷體" w:hint="eastAsia"/>
          <w:sz w:val="28"/>
          <w:szCs w:val="28"/>
        </w:rPr>
        <w:t>第</w:t>
      </w:r>
      <w:r w:rsidRPr="002D5974">
        <w:rPr>
          <w:rFonts w:eastAsia="標楷體" w:hAnsi="標楷體" w:hint="eastAsia"/>
          <w:sz w:val="28"/>
          <w:szCs w:val="28"/>
        </w:rPr>
        <w:t>2</w:t>
      </w:r>
      <w:r w:rsidRPr="002D5974">
        <w:rPr>
          <w:rFonts w:eastAsia="標楷體" w:hAnsi="標楷體" w:hint="eastAsia"/>
          <w:sz w:val="28"/>
          <w:szCs w:val="28"/>
        </w:rPr>
        <w:t>條指出：中華人民共和國全國人民代表大會授權澳門特別行政區依照</w:t>
      </w:r>
      <w:r w:rsidRPr="002D5974">
        <w:rPr>
          <w:rFonts w:eastAsia="標楷體" w:hAnsi="標楷體"/>
          <w:sz w:val="28"/>
          <w:szCs w:val="28"/>
        </w:rPr>
        <w:t>《</w:t>
      </w:r>
      <w:r w:rsidRPr="002D5974">
        <w:rPr>
          <w:rFonts w:eastAsia="標楷體" w:hAnsi="標楷體" w:hint="eastAsia"/>
          <w:sz w:val="28"/>
          <w:szCs w:val="28"/>
        </w:rPr>
        <w:t>澳門基本法</w:t>
      </w:r>
      <w:r w:rsidRPr="002D5974">
        <w:rPr>
          <w:rFonts w:eastAsia="標楷體" w:hAnsi="標楷體"/>
          <w:sz w:val="28"/>
          <w:szCs w:val="28"/>
        </w:rPr>
        <w:t>》</w:t>
      </w:r>
      <w:r w:rsidRPr="002D5974">
        <w:rPr>
          <w:rFonts w:eastAsia="標楷體" w:hAnsi="標楷體" w:hint="eastAsia"/>
          <w:sz w:val="28"/>
          <w:szCs w:val="28"/>
        </w:rPr>
        <w:t>規定實行高度自治，享有獨立的司法權及終審權，開創了一個國家、不同法區的獨特模式。</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rFonts w:eastAsia="標楷體" w:hAnsi="標楷體"/>
          <w:sz w:val="28"/>
          <w:szCs w:val="28"/>
          <w:lang w:val="pt-PT"/>
        </w:rPr>
      </w:pPr>
      <w:r w:rsidRPr="002D5974">
        <w:rPr>
          <w:rFonts w:eastAsia="標楷體" w:hAnsi="標楷體"/>
          <w:sz w:val="28"/>
          <w:szCs w:val="28"/>
          <w:lang w:val="pt-PT"/>
        </w:rPr>
        <w:t>第</w:t>
      </w:r>
      <w:r w:rsidRPr="002D5974">
        <w:rPr>
          <w:rFonts w:eastAsia="標楷體"/>
          <w:sz w:val="28"/>
          <w:szCs w:val="28"/>
          <w:lang w:val="pt-PT"/>
        </w:rPr>
        <w:t>9/1999</w:t>
      </w:r>
      <w:r w:rsidRPr="002D5974">
        <w:rPr>
          <w:rFonts w:eastAsia="標楷體" w:hAnsi="標楷體"/>
          <w:sz w:val="28"/>
          <w:szCs w:val="28"/>
          <w:lang w:val="pt-PT"/>
        </w:rPr>
        <w:t>號法律（</w:t>
      </w:r>
      <w:r w:rsidRPr="002D5974">
        <w:rPr>
          <w:rFonts w:eastAsia="標楷體" w:hAnsi="標楷體"/>
          <w:sz w:val="28"/>
          <w:szCs w:val="28"/>
        </w:rPr>
        <w:t>《司法組織綱要法》</w:t>
      </w:r>
      <w:r w:rsidRPr="002D5974">
        <w:rPr>
          <w:rFonts w:eastAsia="標楷體" w:hAnsi="標楷體"/>
          <w:sz w:val="28"/>
          <w:szCs w:val="28"/>
          <w:lang w:val="pt-PT"/>
        </w:rPr>
        <w:t>）</w:t>
      </w:r>
      <w:r w:rsidRPr="002D5974">
        <w:rPr>
          <w:rFonts w:eastAsia="標楷體" w:hAnsi="標楷體" w:hint="eastAsia"/>
          <w:sz w:val="28"/>
          <w:szCs w:val="28"/>
          <w:lang w:val="pt-PT"/>
        </w:rPr>
        <w:t>第</w:t>
      </w:r>
      <w:r w:rsidRPr="002D5974">
        <w:rPr>
          <w:rFonts w:eastAsia="標楷體" w:hAnsi="標楷體" w:hint="eastAsia"/>
          <w:sz w:val="28"/>
          <w:szCs w:val="28"/>
          <w:lang w:val="pt-PT"/>
        </w:rPr>
        <w:t>3</w:t>
      </w:r>
      <w:r w:rsidRPr="002D5974">
        <w:rPr>
          <w:rFonts w:eastAsia="標楷體" w:hAnsi="標楷體" w:hint="eastAsia"/>
          <w:sz w:val="28"/>
          <w:szCs w:val="28"/>
          <w:lang w:val="pt-PT"/>
        </w:rPr>
        <w:t>條規定：法院為唯一有權限行使審判職能的機關。</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rFonts w:eastAsia="標楷體" w:hAnsi="標楷體"/>
          <w:sz w:val="28"/>
          <w:szCs w:val="28"/>
          <w:lang w:val="pt-PT"/>
        </w:rPr>
      </w:pPr>
      <w:r w:rsidRPr="002D5974">
        <w:rPr>
          <w:rFonts w:eastAsia="標楷體" w:hAnsi="標楷體" w:hint="eastAsia"/>
          <w:sz w:val="28"/>
          <w:szCs w:val="28"/>
          <w:lang w:val="pt-PT"/>
        </w:rPr>
        <w:lastRenderedPageBreak/>
        <w:t>同一法律第</w:t>
      </w:r>
      <w:r w:rsidRPr="002D5974">
        <w:rPr>
          <w:rFonts w:eastAsia="標楷體" w:hAnsi="標楷體" w:hint="eastAsia"/>
          <w:sz w:val="28"/>
          <w:szCs w:val="28"/>
          <w:lang w:val="pt-PT"/>
        </w:rPr>
        <w:t>4</w:t>
      </w:r>
      <w:r w:rsidRPr="002D5974">
        <w:rPr>
          <w:rFonts w:eastAsia="標楷體" w:hAnsi="標楷體" w:hint="eastAsia"/>
          <w:sz w:val="28"/>
          <w:szCs w:val="28"/>
          <w:lang w:val="pt-PT"/>
        </w:rPr>
        <w:t>條規定：法院有職責確保維護權利及受法律保護的利益，遏止對法律的違反，以及解決公、私利益衝突。</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rFonts w:eastAsia="標楷體" w:hAnsi="標楷體"/>
          <w:sz w:val="28"/>
          <w:szCs w:val="28"/>
          <w:lang w:val="pt-PT"/>
        </w:rPr>
      </w:pPr>
      <w:r w:rsidRPr="002D5974">
        <w:rPr>
          <w:rFonts w:eastAsia="標楷體" w:hAnsi="標楷體" w:hint="eastAsia"/>
          <w:sz w:val="28"/>
          <w:szCs w:val="28"/>
          <w:lang w:val="pt-PT"/>
        </w:rPr>
        <w:t>任何人均有訴諸法院的權利，不會因經濟問題而令權利受到剝削（參考</w:t>
      </w:r>
      <w:r w:rsidRPr="002D5974">
        <w:rPr>
          <w:rFonts w:eastAsia="標楷體" w:hAnsi="標楷體"/>
          <w:sz w:val="28"/>
          <w:szCs w:val="28"/>
          <w:lang w:val="pt-PT"/>
        </w:rPr>
        <w:t>《基本法》第</w:t>
      </w:r>
      <w:r w:rsidRPr="002D5974">
        <w:rPr>
          <w:rFonts w:eastAsia="標楷體"/>
          <w:sz w:val="28"/>
          <w:szCs w:val="28"/>
          <w:lang w:val="pt-PT"/>
        </w:rPr>
        <w:t>36</w:t>
      </w:r>
      <w:r w:rsidRPr="002D5974">
        <w:rPr>
          <w:rFonts w:eastAsia="標楷體" w:hAnsi="標楷體"/>
          <w:sz w:val="28"/>
          <w:szCs w:val="28"/>
          <w:lang w:val="pt-PT"/>
        </w:rPr>
        <w:t>條</w:t>
      </w:r>
      <w:r w:rsidRPr="002D5974">
        <w:rPr>
          <w:rFonts w:eastAsia="標楷體" w:hAnsi="標楷體" w:hint="eastAsia"/>
          <w:sz w:val="28"/>
          <w:szCs w:val="28"/>
          <w:lang w:val="pt-PT"/>
        </w:rPr>
        <w:t>），</w:t>
      </w:r>
      <w:r w:rsidRPr="002D5974">
        <w:rPr>
          <w:rFonts w:eastAsia="標楷體" w:hAnsi="標楷體" w:hint="eastAsia"/>
          <w:sz w:val="28"/>
          <w:szCs w:val="28"/>
          <w:lang w:val="pt-PT" w:eastAsia="zh-HK"/>
        </w:rPr>
        <w:t>並</w:t>
      </w:r>
      <w:r w:rsidRPr="002D5974">
        <w:rPr>
          <w:rFonts w:eastAsia="標楷體" w:hAnsi="標楷體" w:hint="eastAsia"/>
          <w:sz w:val="28"/>
          <w:szCs w:val="28"/>
          <w:lang w:val="pt-PT"/>
        </w:rPr>
        <w:t>頒佈了第</w:t>
      </w:r>
      <w:r w:rsidRPr="002D5974">
        <w:rPr>
          <w:rFonts w:eastAsia="標楷體" w:hAnsi="標楷體" w:hint="eastAsia"/>
          <w:sz w:val="28"/>
          <w:szCs w:val="28"/>
          <w:lang w:val="pt-PT"/>
        </w:rPr>
        <w:t>13/2012</w:t>
      </w:r>
      <w:r w:rsidRPr="002D5974">
        <w:rPr>
          <w:rFonts w:eastAsia="標楷體" w:hAnsi="標楷體" w:hint="eastAsia"/>
          <w:sz w:val="28"/>
          <w:szCs w:val="28"/>
          <w:lang w:val="pt-PT"/>
        </w:rPr>
        <w:t>號法律（</w:t>
      </w:r>
      <w:r w:rsidRPr="002D5974">
        <w:rPr>
          <w:rFonts w:eastAsia="標楷體" w:hAnsi="標楷體"/>
          <w:sz w:val="28"/>
          <w:szCs w:val="28"/>
          <w:lang w:val="pt-PT"/>
        </w:rPr>
        <w:t>《</w:t>
      </w:r>
      <w:r w:rsidRPr="002D5974">
        <w:rPr>
          <w:rFonts w:eastAsia="標楷體" w:hAnsi="標楷體" w:hint="eastAsia"/>
          <w:sz w:val="28"/>
          <w:szCs w:val="28"/>
          <w:lang w:val="pt-PT"/>
        </w:rPr>
        <w:t>司</w:t>
      </w:r>
      <w:r w:rsidRPr="002D5974">
        <w:rPr>
          <w:rFonts w:eastAsia="標楷體" w:hAnsi="標楷體"/>
          <w:sz w:val="28"/>
          <w:szCs w:val="28"/>
          <w:lang w:val="pt-PT"/>
        </w:rPr>
        <w:t>法</w:t>
      </w:r>
      <w:r w:rsidRPr="002D5974">
        <w:rPr>
          <w:rFonts w:eastAsia="標楷體" w:hAnsi="標楷體" w:hint="eastAsia"/>
          <w:sz w:val="28"/>
          <w:szCs w:val="28"/>
          <w:lang w:val="pt-PT"/>
        </w:rPr>
        <w:t>援助的一般制度</w:t>
      </w:r>
      <w:r w:rsidRPr="002D5974">
        <w:rPr>
          <w:rFonts w:eastAsia="標楷體" w:hAnsi="標楷體"/>
          <w:sz w:val="28"/>
          <w:szCs w:val="28"/>
          <w:lang w:val="pt-PT"/>
        </w:rPr>
        <w:t>》</w:t>
      </w:r>
      <w:r w:rsidRPr="002D5974">
        <w:rPr>
          <w:rFonts w:eastAsia="標楷體" w:hAnsi="標楷體" w:hint="eastAsia"/>
          <w:sz w:val="28"/>
          <w:szCs w:val="28"/>
          <w:lang w:val="pt-PT"/>
        </w:rPr>
        <w:t>）。</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sz w:val="28"/>
          <w:szCs w:val="28"/>
          <w:lang w:val="pt-PT"/>
        </w:rPr>
      </w:pPr>
      <w:r w:rsidRPr="002D5974">
        <w:rPr>
          <w:rFonts w:hint="eastAsia"/>
          <w:sz w:val="28"/>
          <w:szCs w:val="28"/>
          <w:lang w:val="pt-PT"/>
        </w:rPr>
        <w:t>中立的審判機關</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rFonts w:eastAsia="標楷體"/>
          <w:sz w:val="28"/>
          <w:szCs w:val="28"/>
        </w:rPr>
      </w:pPr>
      <w:r w:rsidRPr="002D5974">
        <w:rPr>
          <w:rFonts w:eastAsia="標楷體" w:hint="eastAsia"/>
          <w:sz w:val="28"/>
          <w:szCs w:val="28"/>
        </w:rPr>
        <w:t>法院為一中立的裁判機關，並以不偏不倚的方式，對待訴訟各方主體。</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rFonts w:eastAsia="標楷體" w:hAnsi="標楷體"/>
          <w:sz w:val="28"/>
          <w:szCs w:val="28"/>
        </w:rPr>
      </w:pPr>
      <w:r w:rsidRPr="002D5974">
        <w:rPr>
          <w:rFonts w:eastAsia="標楷體" w:hint="eastAsia"/>
          <w:sz w:val="28"/>
          <w:szCs w:val="28"/>
        </w:rPr>
        <w:t>因此，法律訂明了司法官的迴避機制；</w:t>
      </w:r>
      <w:r w:rsidRPr="002D5974">
        <w:rPr>
          <w:rFonts w:ascii="標楷體" w:eastAsia="標楷體" w:hAnsi="標楷體" w:hint="eastAsia"/>
          <w:sz w:val="28"/>
          <w:szCs w:val="28"/>
        </w:rPr>
        <w:t>《司法官通則》第</w:t>
      </w:r>
      <w:r w:rsidRPr="002D5974">
        <w:rPr>
          <w:rFonts w:eastAsia="標楷體"/>
          <w:sz w:val="28"/>
          <w:szCs w:val="28"/>
        </w:rPr>
        <w:t>23</w:t>
      </w:r>
      <w:r w:rsidRPr="002D5974">
        <w:rPr>
          <w:rFonts w:eastAsia="標楷體" w:hAnsi="標楷體"/>
          <w:sz w:val="28"/>
          <w:szCs w:val="28"/>
        </w:rPr>
        <w:t>條規定：</w:t>
      </w:r>
      <w:r w:rsidRPr="002D5974">
        <w:rPr>
          <w:rFonts w:eastAsia="標楷體" w:hAnsi="標楷體" w:hint="eastAsia"/>
          <w:sz w:val="28"/>
          <w:szCs w:val="28"/>
        </w:rPr>
        <w:t>除關於迴避的法律規定外，司法官亦不得介入或參與與其有婚姻、事實婚、任何親等的直系血親或姻親，又或二親等內的旁系血親或姻親的關係的法院司法官、檢察院司法官或司法輔助人員所介入或參與的訴訟程序。</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rFonts w:eastAsia="標楷體"/>
          <w:sz w:val="28"/>
          <w:szCs w:val="28"/>
        </w:rPr>
      </w:pPr>
      <w:r w:rsidRPr="002D5974">
        <w:rPr>
          <w:rFonts w:eastAsia="標楷體"/>
          <w:sz w:val="28"/>
          <w:szCs w:val="28"/>
        </w:rPr>
        <w:t>此外，</w:t>
      </w:r>
      <w:r w:rsidRPr="002D5974">
        <w:rPr>
          <w:rFonts w:eastAsia="標楷體" w:hint="eastAsia"/>
          <w:sz w:val="28"/>
          <w:szCs w:val="28"/>
          <w:lang w:eastAsia="zh-HK"/>
        </w:rPr>
        <w:t>也</w:t>
      </w:r>
      <w:r w:rsidRPr="002D5974">
        <w:rPr>
          <w:rFonts w:eastAsia="標楷體"/>
          <w:sz w:val="28"/>
          <w:szCs w:val="28"/>
        </w:rPr>
        <w:t>可參考</w:t>
      </w:r>
      <w:r w:rsidRPr="002D5974">
        <w:rPr>
          <w:rFonts w:eastAsia="標楷體" w:hAnsi="標楷體"/>
          <w:sz w:val="28"/>
          <w:szCs w:val="28"/>
        </w:rPr>
        <w:t>《民事訴訟法典》第</w:t>
      </w:r>
      <w:r w:rsidRPr="002D5974">
        <w:rPr>
          <w:rFonts w:eastAsia="標楷體"/>
          <w:sz w:val="28"/>
          <w:szCs w:val="28"/>
        </w:rPr>
        <w:t>311</w:t>
      </w:r>
      <w:r w:rsidRPr="002D5974">
        <w:rPr>
          <w:rFonts w:eastAsia="標楷體" w:hAnsi="標楷體"/>
          <w:sz w:val="28"/>
          <w:szCs w:val="28"/>
        </w:rPr>
        <w:t>條</w:t>
      </w:r>
      <w:r w:rsidRPr="002D5974">
        <w:rPr>
          <w:rFonts w:eastAsia="標楷體" w:hAnsi="標楷體" w:hint="eastAsia"/>
          <w:sz w:val="28"/>
          <w:szCs w:val="28"/>
        </w:rPr>
        <w:t>及續後內容，</w:t>
      </w:r>
      <w:r w:rsidRPr="002D5974">
        <w:rPr>
          <w:rFonts w:eastAsia="標楷體" w:hAnsi="標楷體"/>
          <w:sz w:val="28"/>
          <w:szCs w:val="28"/>
        </w:rPr>
        <w:t>及《</w:t>
      </w:r>
      <w:r w:rsidRPr="002D5974">
        <w:rPr>
          <w:rFonts w:eastAsia="標楷體" w:hAnsi="標楷體" w:hint="eastAsia"/>
          <w:sz w:val="28"/>
          <w:szCs w:val="28"/>
        </w:rPr>
        <w:t>刑</w:t>
      </w:r>
      <w:r w:rsidRPr="002D5974">
        <w:rPr>
          <w:rFonts w:eastAsia="標楷體" w:hAnsi="標楷體"/>
          <w:sz w:val="28"/>
          <w:szCs w:val="28"/>
        </w:rPr>
        <w:t>事訴訟法典》</w:t>
      </w:r>
      <w:r w:rsidRPr="002D5974">
        <w:rPr>
          <w:rFonts w:eastAsia="標楷體" w:hAnsi="標楷體" w:hint="eastAsia"/>
          <w:sz w:val="28"/>
          <w:szCs w:val="28"/>
        </w:rPr>
        <w:t>第</w:t>
      </w:r>
      <w:r w:rsidRPr="002D5974">
        <w:rPr>
          <w:rFonts w:eastAsia="標楷體" w:hAnsi="標楷體" w:hint="eastAsia"/>
          <w:sz w:val="28"/>
          <w:szCs w:val="28"/>
        </w:rPr>
        <w:t>28</w:t>
      </w:r>
      <w:r w:rsidRPr="002D5974">
        <w:rPr>
          <w:rFonts w:eastAsia="標楷體" w:hAnsi="標楷體" w:hint="eastAsia"/>
          <w:sz w:val="28"/>
          <w:szCs w:val="28"/>
        </w:rPr>
        <w:t>條及續後內容</w:t>
      </w:r>
      <w:r w:rsidRPr="002D5974">
        <w:rPr>
          <w:rFonts w:eastAsia="標楷體"/>
          <w:sz w:val="28"/>
          <w:szCs w:val="28"/>
        </w:rPr>
        <w:t>。</w:t>
      </w:r>
    </w:p>
    <w:p w:rsidR="00D13900" w:rsidRPr="002D5974" w:rsidRDefault="00D13900" w:rsidP="002B323B">
      <w:pPr>
        <w:pStyle w:val="ae"/>
        <w:tabs>
          <w:tab w:val="left" w:leader="dot" w:pos="7920"/>
        </w:tabs>
        <w:spacing w:beforeLines="50" w:before="180" w:line="460" w:lineRule="exact"/>
        <w:ind w:leftChars="0" w:left="0" w:firstLineChars="131" w:firstLine="367"/>
        <w:jc w:val="both"/>
        <w:rPr>
          <w:b/>
          <w:sz w:val="28"/>
          <w:szCs w:val="28"/>
        </w:rPr>
      </w:pPr>
    </w:p>
    <w:p w:rsidR="00D13900" w:rsidRPr="002D5974" w:rsidRDefault="00D13900" w:rsidP="002B323B">
      <w:pPr>
        <w:pStyle w:val="ae"/>
        <w:numPr>
          <w:ilvl w:val="0"/>
          <w:numId w:val="14"/>
        </w:numPr>
        <w:tabs>
          <w:tab w:val="left" w:leader="dot" w:pos="7920"/>
        </w:tabs>
        <w:spacing w:beforeLines="50" w:before="180" w:line="460" w:lineRule="exact"/>
        <w:ind w:leftChars="0"/>
        <w:jc w:val="both"/>
        <w:rPr>
          <w:b/>
          <w:sz w:val="28"/>
          <w:szCs w:val="28"/>
        </w:rPr>
      </w:pPr>
      <w:r w:rsidRPr="002D5974">
        <w:rPr>
          <w:rFonts w:hint="eastAsia"/>
          <w:b/>
          <w:sz w:val="28"/>
          <w:szCs w:val="28"/>
          <w:lang w:val="pt-PT"/>
        </w:rPr>
        <w:t>檢察院的職責</w:t>
      </w:r>
    </w:p>
    <w:p w:rsidR="00D13900" w:rsidRPr="002D5974" w:rsidRDefault="00102371" w:rsidP="002B323B">
      <w:pPr>
        <w:pStyle w:val="ae"/>
        <w:tabs>
          <w:tab w:val="left" w:leader="dot" w:pos="7920"/>
        </w:tabs>
        <w:spacing w:beforeLines="50" w:before="180" w:line="460" w:lineRule="exact"/>
        <w:ind w:leftChars="0" w:left="0" w:firstLineChars="131" w:firstLine="367"/>
        <w:jc w:val="both"/>
        <w:rPr>
          <w:rFonts w:ascii="標楷體" w:eastAsia="標楷體" w:hAnsi="標楷體" w:cs="Helvetica"/>
          <w:color w:val="000000"/>
          <w:kern w:val="0"/>
          <w:sz w:val="28"/>
          <w:szCs w:val="28"/>
        </w:rPr>
      </w:pPr>
      <w:r w:rsidRPr="002D5974">
        <w:rPr>
          <w:rFonts w:ascii="標楷體" w:eastAsia="標楷體" w:hAnsi="標楷體" w:cs="Helvetica"/>
          <w:color w:val="000000"/>
          <w:kern w:val="0"/>
          <w:sz w:val="28"/>
          <w:szCs w:val="28"/>
        </w:rPr>
        <w:t>檢察院的職責為在法庭上代表澳門特別行政區，實行刑事訴訟，維護合法性及法律所規定的利益；訴訟法律規定</w:t>
      </w:r>
      <w:r w:rsidR="0022656B">
        <w:rPr>
          <w:rFonts w:ascii="標楷體" w:eastAsia="標楷體" w:hAnsi="標楷體" w:cs="Helvetica"/>
          <w:color w:val="000000"/>
          <w:kern w:val="0"/>
          <w:sz w:val="28"/>
          <w:szCs w:val="28"/>
        </w:rPr>
        <w:t>了</w:t>
      </w:r>
      <w:r w:rsidRPr="002D5974">
        <w:rPr>
          <w:rFonts w:ascii="標楷體" w:eastAsia="標楷體" w:hAnsi="標楷體" w:cs="Helvetica"/>
          <w:color w:val="000000"/>
          <w:kern w:val="0"/>
          <w:sz w:val="28"/>
          <w:szCs w:val="28"/>
        </w:rPr>
        <w:t>檢察院在何種情況下行使監察《澳門特別行政區基本法》實施的職權。</w:t>
      </w:r>
    </w:p>
    <w:p w:rsidR="00102371" w:rsidRPr="002D5974" w:rsidRDefault="00102371" w:rsidP="002B323B">
      <w:pPr>
        <w:pStyle w:val="ae"/>
        <w:tabs>
          <w:tab w:val="left" w:leader="dot" w:pos="7920"/>
        </w:tabs>
        <w:spacing w:beforeLines="50" w:before="180" w:line="460" w:lineRule="exact"/>
        <w:ind w:leftChars="0" w:left="0" w:firstLineChars="131" w:firstLine="367"/>
        <w:jc w:val="both"/>
        <w:rPr>
          <w:rFonts w:eastAsia="標楷體" w:hAnsi="標楷體"/>
          <w:color w:val="000000"/>
          <w:kern w:val="0"/>
          <w:sz w:val="28"/>
          <w:szCs w:val="28"/>
        </w:rPr>
      </w:pPr>
      <w:r w:rsidRPr="002D5974">
        <w:rPr>
          <w:rFonts w:eastAsia="標楷體" w:hAnsi="標楷體"/>
          <w:color w:val="000000"/>
          <w:kern w:val="0"/>
          <w:sz w:val="28"/>
          <w:szCs w:val="28"/>
        </w:rPr>
        <w:t>檢察院尤其有職權：</w:t>
      </w:r>
    </w:p>
    <w:p w:rsidR="00102371" w:rsidRPr="002D5974" w:rsidRDefault="00102371" w:rsidP="002B323B">
      <w:pPr>
        <w:widowControl/>
        <w:spacing w:line="460" w:lineRule="exact"/>
        <w:ind w:firstLine="419"/>
        <w:jc w:val="both"/>
        <w:rPr>
          <w:rFonts w:eastAsia="標楷體"/>
          <w:color w:val="000000"/>
          <w:kern w:val="0"/>
          <w:sz w:val="28"/>
          <w:szCs w:val="28"/>
        </w:rPr>
      </w:pPr>
      <w:r w:rsidRPr="002D5974">
        <w:rPr>
          <w:rFonts w:eastAsia="標楷體"/>
          <w:color w:val="000000"/>
          <w:kern w:val="0"/>
          <w:sz w:val="28"/>
          <w:szCs w:val="28"/>
        </w:rPr>
        <w:lastRenderedPageBreak/>
        <w:t>a</w:t>
      </w:r>
      <w:r w:rsidRPr="002D5974">
        <w:rPr>
          <w:rFonts w:eastAsia="標楷體" w:hAnsi="標楷體"/>
          <w:color w:val="000000"/>
          <w:kern w:val="0"/>
          <w:sz w:val="28"/>
          <w:szCs w:val="28"/>
        </w:rPr>
        <w:t>）代表澳門特別行政區、澳門特別行政區公庫、無行為能力人、不確定人及失蹤人；</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b</w:t>
      </w:r>
      <w:r w:rsidRPr="002D5974">
        <w:rPr>
          <w:rFonts w:eastAsia="標楷體" w:hAnsi="標楷體"/>
          <w:color w:val="000000"/>
          <w:kern w:val="0"/>
          <w:sz w:val="28"/>
          <w:szCs w:val="28"/>
        </w:rPr>
        <w:t>）在法律規定的情況下，維護集體利益或大眾利益；</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c</w:t>
      </w:r>
      <w:r w:rsidRPr="002D5974">
        <w:rPr>
          <w:rFonts w:eastAsia="標楷體" w:hAnsi="標楷體"/>
          <w:color w:val="000000"/>
          <w:kern w:val="0"/>
          <w:sz w:val="28"/>
          <w:szCs w:val="28"/>
        </w:rPr>
        <w:t>）實行刑事訴訟；</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d</w:t>
      </w:r>
      <w:r w:rsidRPr="002D5974">
        <w:rPr>
          <w:rFonts w:eastAsia="標楷體" w:hAnsi="標楷體"/>
          <w:color w:val="000000"/>
          <w:kern w:val="0"/>
          <w:sz w:val="28"/>
          <w:szCs w:val="28"/>
        </w:rPr>
        <w:t>）依據訴訟法律的規定領導刑事調查；</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e</w:t>
      </w:r>
      <w:r w:rsidRPr="002D5974">
        <w:rPr>
          <w:rFonts w:eastAsia="標楷體" w:hAnsi="標楷體"/>
          <w:color w:val="000000"/>
          <w:kern w:val="0"/>
          <w:sz w:val="28"/>
          <w:szCs w:val="28"/>
        </w:rPr>
        <w:t>）監察刑事警察機關在程序上的行為；</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f</w:t>
      </w:r>
      <w:r w:rsidRPr="002D5974">
        <w:rPr>
          <w:rFonts w:eastAsia="標楷體" w:hAnsi="標楷體"/>
          <w:color w:val="000000"/>
          <w:kern w:val="0"/>
          <w:sz w:val="28"/>
          <w:szCs w:val="28"/>
        </w:rPr>
        <w:t>）促進及合作進行預防犯罪的活動；</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g</w:t>
      </w:r>
      <w:r w:rsidRPr="002D5974">
        <w:rPr>
          <w:rFonts w:eastAsia="標楷體" w:hAnsi="標楷體"/>
          <w:color w:val="000000"/>
          <w:kern w:val="0"/>
          <w:sz w:val="28"/>
          <w:szCs w:val="28"/>
        </w:rPr>
        <w:t>）在其職責範圍內，維護法院的獨立性，並關注法院的職責是否依法履行；</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h</w:t>
      </w:r>
      <w:r w:rsidRPr="002D5974">
        <w:rPr>
          <w:rFonts w:eastAsia="標楷體" w:hAnsi="標楷體"/>
          <w:color w:val="000000"/>
          <w:kern w:val="0"/>
          <w:sz w:val="28"/>
          <w:szCs w:val="28"/>
        </w:rPr>
        <w:t>）在具有正當性的情況下，促進法院裁判的執行；</w:t>
      </w:r>
    </w:p>
    <w:p w:rsidR="00102371" w:rsidRPr="002D5974" w:rsidRDefault="00102371" w:rsidP="002B323B">
      <w:pPr>
        <w:widowControl/>
        <w:spacing w:line="460" w:lineRule="exact"/>
        <w:ind w:firstLine="480"/>
        <w:jc w:val="both"/>
        <w:rPr>
          <w:rFonts w:eastAsia="標楷體"/>
          <w:color w:val="000000"/>
          <w:kern w:val="0"/>
          <w:sz w:val="28"/>
          <w:szCs w:val="28"/>
        </w:rPr>
      </w:pPr>
      <w:proofErr w:type="spellStart"/>
      <w:r w:rsidRPr="002D5974">
        <w:rPr>
          <w:rFonts w:eastAsia="標楷體"/>
          <w:color w:val="000000"/>
          <w:kern w:val="0"/>
          <w:sz w:val="28"/>
          <w:szCs w:val="28"/>
        </w:rPr>
        <w:t>i</w:t>
      </w:r>
      <w:proofErr w:type="spellEnd"/>
      <w:r w:rsidRPr="002D5974">
        <w:rPr>
          <w:rFonts w:eastAsia="標楷體" w:hAnsi="標楷體"/>
          <w:color w:val="000000"/>
          <w:kern w:val="0"/>
          <w:sz w:val="28"/>
          <w:szCs w:val="28"/>
        </w:rPr>
        <w:t>）依職權在法院代理勞工及其家屬，以維護彼等在社會方面的權利；</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j</w:t>
      </w:r>
      <w:r w:rsidRPr="002D5974">
        <w:rPr>
          <w:rFonts w:eastAsia="標楷體" w:hAnsi="標楷體"/>
          <w:color w:val="000000"/>
          <w:kern w:val="0"/>
          <w:sz w:val="28"/>
          <w:szCs w:val="28"/>
        </w:rPr>
        <w:t>）在履行職責時要求其他有職權當局提供協助；</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k</w:t>
      </w:r>
      <w:r w:rsidRPr="002D5974">
        <w:rPr>
          <w:rFonts w:eastAsia="標楷體" w:hAnsi="標楷體"/>
          <w:color w:val="000000"/>
          <w:kern w:val="0"/>
          <w:sz w:val="28"/>
          <w:szCs w:val="28"/>
        </w:rPr>
        <w:t>）參與破產或無償還能力的程序以及所有涉及公共利益的程序；</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l</w:t>
      </w:r>
      <w:r w:rsidRPr="002D5974">
        <w:rPr>
          <w:rFonts w:eastAsia="標楷體" w:hAnsi="標楷體"/>
          <w:color w:val="000000"/>
          <w:kern w:val="0"/>
          <w:sz w:val="28"/>
          <w:szCs w:val="28"/>
        </w:rPr>
        <w:t>）對因當事人為對法律作出欺詐而互相勾結所導致的裁判提起上訴；</w:t>
      </w:r>
    </w:p>
    <w:p w:rsidR="00102371" w:rsidRPr="002D5974" w:rsidRDefault="00102371" w:rsidP="002B323B">
      <w:pPr>
        <w:widowControl/>
        <w:spacing w:line="460" w:lineRule="exact"/>
        <w:ind w:firstLine="480"/>
        <w:jc w:val="both"/>
        <w:rPr>
          <w:rFonts w:eastAsia="標楷體"/>
          <w:color w:val="000000"/>
          <w:kern w:val="0"/>
          <w:sz w:val="28"/>
          <w:szCs w:val="28"/>
        </w:rPr>
      </w:pPr>
      <w:r w:rsidRPr="002D5974">
        <w:rPr>
          <w:rFonts w:eastAsia="標楷體"/>
          <w:color w:val="000000"/>
          <w:kern w:val="0"/>
          <w:sz w:val="28"/>
          <w:szCs w:val="28"/>
        </w:rPr>
        <w:t>m</w:t>
      </w:r>
      <w:r w:rsidRPr="002D5974">
        <w:rPr>
          <w:rFonts w:eastAsia="標楷體" w:hAnsi="標楷體"/>
          <w:color w:val="000000"/>
          <w:kern w:val="0"/>
          <w:sz w:val="28"/>
          <w:szCs w:val="28"/>
        </w:rPr>
        <w:t>）在法律規定的情況下，或應行政長官或立法會主席的請求，行使諮詢職能；</w:t>
      </w:r>
    </w:p>
    <w:p w:rsidR="00102371" w:rsidRPr="002D5974" w:rsidRDefault="00102371" w:rsidP="00C45D4A">
      <w:pPr>
        <w:pStyle w:val="ae"/>
        <w:tabs>
          <w:tab w:val="left" w:leader="dot" w:pos="7920"/>
        </w:tabs>
        <w:spacing w:line="460" w:lineRule="exact"/>
        <w:ind w:leftChars="0" w:left="0" w:firstLineChars="131" w:firstLine="367"/>
        <w:jc w:val="both"/>
        <w:rPr>
          <w:rFonts w:eastAsia="標楷體" w:hAnsi="標楷體"/>
          <w:color w:val="000000"/>
          <w:kern w:val="0"/>
          <w:sz w:val="28"/>
          <w:szCs w:val="28"/>
        </w:rPr>
      </w:pPr>
      <w:r w:rsidRPr="002D5974">
        <w:rPr>
          <w:rFonts w:eastAsia="標楷體"/>
          <w:color w:val="000000"/>
          <w:kern w:val="0"/>
          <w:sz w:val="28"/>
          <w:szCs w:val="28"/>
        </w:rPr>
        <w:t>n</w:t>
      </w:r>
      <w:r w:rsidRPr="002D5974">
        <w:rPr>
          <w:rFonts w:eastAsia="標楷體" w:hAnsi="標楷體"/>
          <w:color w:val="000000"/>
          <w:kern w:val="0"/>
          <w:sz w:val="28"/>
          <w:szCs w:val="28"/>
        </w:rPr>
        <w:t>）行使法律賦予的其他職權。</w:t>
      </w:r>
    </w:p>
    <w:p w:rsidR="00102371" w:rsidRPr="002D5974" w:rsidRDefault="00102371" w:rsidP="002B323B">
      <w:pPr>
        <w:pStyle w:val="ae"/>
        <w:tabs>
          <w:tab w:val="left" w:leader="dot" w:pos="7920"/>
        </w:tabs>
        <w:spacing w:beforeLines="50" w:before="180" w:line="460" w:lineRule="exact"/>
        <w:ind w:leftChars="0" w:left="0" w:firstLineChars="131" w:firstLine="367"/>
        <w:jc w:val="both"/>
        <w:rPr>
          <w:b/>
          <w:sz w:val="28"/>
          <w:szCs w:val="28"/>
          <w:lang w:val="pt-PT"/>
        </w:rPr>
      </w:pPr>
      <w:r w:rsidRPr="002D5974">
        <w:rPr>
          <w:rFonts w:eastAsia="標楷體" w:hAnsi="標楷體" w:hint="eastAsia"/>
          <w:color w:val="000000"/>
          <w:kern w:val="0"/>
          <w:sz w:val="28"/>
          <w:szCs w:val="28"/>
          <w:lang w:eastAsia="zh-HK"/>
        </w:rPr>
        <w:t>並具體體現在：</w:t>
      </w:r>
    </w:p>
    <w:p w:rsidR="00D13900" w:rsidRPr="002D5974" w:rsidRDefault="00102371" w:rsidP="002B323B">
      <w:pPr>
        <w:tabs>
          <w:tab w:val="left" w:leader="dot" w:pos="7920"/>
        </w:tabs>
        <w:spacing w:beforeLines="50" w:before="180" w:line="460" w:lineRule="exact"/>
        <w:ind w:left="1120" w:hangingChars="400" w:hanging="1120"/>
        <w:jc w:val="both"/>
        <w:rPr>
          <w:rFonts w:ascii="標楷體" w:eastAsia="標楷體" w:hAnsi="標楷體"/>
          <w:sz w:val="28"/>
          <w:szCs w:val="28"/>
          <w:lang w:val="pt-PT"/>
        </w:rPr>
      </w:pPr>
      <w:r w:rsidRPr="002D5974">
        <w:rPr>
          <w:rFonts w:hint="eastAsia"/>
          <w:sz w:val="28"/>
          <w:szCs w:val="28"/>
        </w:rPr>
        <w:t xml:space="preserve">　　</w:t>
      </w:r>
      <w:r w:rsidRPr="002D5974">
        <w:rPr>
          <w:rFonts w:ascii="標楷體" w:eastAsia="標楷體" w:hAnsi="標楷體" w:hint="eastAsia"/>
          <w:sz w:val="28"/>
          <w:szCs w:val="28"/>
        </w:rPr>
        <w:sym w:font="Wingdings" w:char="F0E0"/>
      </w:r>
      <w:r w:rsidRPr="002D5974">
        <w:rPr>
          <w:rFonts w:ascii="標楷體" w:eastAsia="標楷體" w:hAnsi="標楷體" w:hint="eastAsia"/>
          <w:sz w:val="28"/>
          <w:szCs w:val="28"/>
          <w:lang w:val="pt-PT"/>
        </w:rPr>
        <w:t xml:space="preserve"> 民事案件中代表下落不明之人（參見</w:t>
      </w:r>
      <w:r w:rsidRPr="002D5974">
        <w:rPr>
          <w:rFonts w:eastAsia="標楷體" w:hAnsi="標楷體"/>
          <w:sz w:val="28"/>
          <w:szCs w:val="28"/>
        </w:rPr>
        <w:t>《民事訴訟法典》　　　　第</w:t>
      </w:r>
      <w:r w:rsidRPr="002D5974">
        <w:rPr>
          <w:rFonts w:eastAsia="標楷體" w:hint="eastAsia"/>
          <w:sz w:val="28"/>
          <w:szCs w:val="28"/>
        </w:rPr>
        <w:t>49</w:t>
      </w:r>
      <w:r w:rsidRPr="002D5974">
        <w:rPr>
          <w:rFonts w:eastAsia="標楷體" w:hAnsi="標楷體"/>
          <w:sz w:val="28"/>
          <w:szCs w:val="28"/>
        </w:rPr>
        <w:t>條</w:t>
      </w:r>
      <w:r w:rsidRPr="002D5974">
        <w:rPr>
          <w:rFonts w:ascii="標楷體" w:eastAsia="標楷體" w:hAnsi="標楷體" w:hint="eastAsia"/>
          <w:sz w:val="28"/>
          <w:szCs w:val="28"/>
          <w:lang w:val="pt-PT"/>
        </w:rPr>
        <w:t>）；</w:t>
      </w:r>
    </w:p>
    <w:p w:rsidR="00102371" w:rsidRPr="002D5974" w:rsidRDefault="00102371" w:rsidP="002B323B">
      <w:pPr>
        <w:tabs>
          <w:tab w:val="left" w:leader="dot" w:pos="7920"/>
        </w:tabs>
        <w:spacing w:beforeLines="50" w:before="180" w:line="460" w:lineRule="exact"/>
        <w:jc w:val="both"/>
        <w:rPr>
          <w:rFonts w:ascii="標楷體" w:eastAsia="標楷體" w:hAnsi="標楷體"/>
          <w:sz w:val="28"/>
          <w:szCs w:val="28"/>
          <w:lang w:val="pt-PT"/>
        </w:rPr>
      </w:pPr>
      <w:r w:rsidRPr="002D5974">
        <w:rPr>
          <w:rFonts w:ascii="標楷體" w:eastAsia="標楷體" w:hAnsi="標楷體" w:hint="eastAsia"/>
          <w:sz w:val="28"/>
          <w:szCs w:val="28"/>
        </w:rPr>
        <w:t xml:space="preserve">　 </w:t>
      </w:r>
      <w:r w:rsidRPr="002D5974">
        <w:rPr>
          <w:rFonts w:ascii="標楷體" w:eastAsia="標楷體" w:hAnsi="標楷體" w:hint="eastAsia"/>
          <w:sz w:val="28"/>
          <w:szCs w:val="28"/>
        </w:rPr>
        <w:sym w:font="Wingdings" w:char="F0E0"/>
      </w:r>
      <w:r w:rsidRPr="002D5974">
        <w:rPr>
          <w:rFonts w:ascii="標楷體" w:eastAsia="標楷體" w:hAnsi="標楷體" w:hint="eastAsia"/>
          <w:sz w:val="28"/>
          <w:szCs w:val="28"/>
        </w:rPr>
        <w:t xml:space="preserve"> </w:t>
      </w:r>
      <w:r w:rsidRPr="002D5974">
        <w:rPr>
          <w:rFonts w:ascii="標楷體" w:eastAsia="標楷體" w:hAnsi="標楷體" w:hint="eastAsia"/>
          <w:sz w:val="28"/>
          <w:szCs w:val="28"/>
          <w:lang w:val="pt-PT"/>
        </w:rPr>
        <w:t>代表未成年人（</w:t>
      </w:r>
      <w:r w:rsidRPr="002D5974">
        <w:rPr>
          <w:rFonts w:eastAsia="標楷體" w:hAnsi="標楷體"/>
          <w:sz w:val="28"/>
          <w:szCs w:val="28"/>
        </w:rPr>
        <w:t>《</w:t>
      </w:r>
      <w:r w:rsidRPr="002D5974">
        <w:rPr>
          <w:rFonts w:eastAsia="標楷體" w:hAnsi="標楷體" w:hint="eastAsia"/>
          <w:sz w:val="28"/>
          <w:szCs w:val="28"/>
        </w:rPr>
        <w:t>刑</w:t>
      </w:r>
      <w:r w:rsidRPr="002D5974">
        <w:rPr>
          <w:rFonts w:eastAsia="標楷體" w:hAnsi="標楷體"/>
          <w:sz w:val="28"/>
          <w:szCs w:val="28"/>
        </w:rPr>
        <w:t>法典》</w:t>
      </w:r>
      <w:r w:rsidRPr="002D5974">
        <w:rPr>
          <w:rFonts w:eastAsia="標楷體" w:hAnsi="標楷體" w:hint="eastAsia"/>
          <w:sz w:val="28"/>
          <w:szCs w:val="28"/>
        </w:rPr>
        <w:t>第</w:t>
      </w:r>
      <w:r w:rsidRPr="002D5974">
        <w:rPr>
          <w:rFonts w:eastAsia="標楷體" w:hAnsi="標楷體" w:hint="eastAsia"/>
          <w:sz w:val="28"/>
          <w:szCs w:val="28"/>
        </w:rPr>
        <w:t>172</w:t>
      </w:r>
      <w:r w:rsidRPr="002D5974">
        <w:rPr>
          <w:rFonts w:eastAsia="標楷體" w:hAnsi="標楷體" w:hint="eastAsia"/>
          <w:sz w:val="28"/>
          <w:szCs w:val="28"/>
        </w:rPr>
        <w:t>條第</w:t>
      </w:r>
      <w:r w:rsidRPr="002D5974">
        <w:rPr>
          <w:rFonts w:eastAsia="標楷體" w:hAnsi="標楷體" w:hint="eastAsia"/>
          <w:sz w:val="28"/>
          <w:szCs w:val="28"/>
        </w:rPr>
        <w:t>2</w:t>
      </w:r>
      <w:r w:rsidRPr="002D5974">
        <w:rPr>
          <w:rFonts w:eastAsia="標楷體" w:hAnsi="標楷體" w:hint="eastAsia"/>
          <w:sz w:val="28"/>
          <w:szCs w:val="28"/>
        </w:rPr>
        <w:t>款</w:t>
      </w:r>
      <w:r w:rsidRPr="002D5974">
        <w:rPr>
          <w:rFonts w:ascii="標楷體" w:eastAsia="標楷體" w:hAnsi="標楷體" w:hint="eastAsia"/>
          <w:sz w:val="28"/>
          <w:szCs w:val="28"/>
          <w:lang w:val="pt-PT"/>
        </w:rPr>
        <w:t>）</w:t>
      </w:r>
      <w:r w:rsidR="00763BD3" w:rsidRPr="002D5974">
        <w:rPr>
          <w:rFonts w:ascii="標楷體" w:eastAsia="標楷體" w:hAnsi="標楷體" w:hint="eastAsia"/>
          <w:sz w:val="28"/>
          <w:szCs w:val="28"/>
          <w:lang w:val="pt-PT"/>
        </w:rPr>
        <w:t>；</w:t>
      </w:r>
    </w:p>
    <w:p w:rsidR="00102371" w:rsidRPr="002D5974" w:rsidRDefault="00102371" w:rsidP="002B323B">
      <w:pPr>
        <w:tabs>
          <w:tab w:val="left" w:leader="dot" w:pos="7920"/>
        </w:tabs>
        <w:spacing w:beforeLines="50" w:before="180" w:line="460" w:lineRule="exact"/>
        <w:ind w:left="868" w:hangingChars="310" w:hanging="868"/>
        <w:jc w:val="both"/>
        <w:rPr>
          <w:rFonts w:ascii="標楷體" w:eastAsia="標楷體" w:hAnsi="標楷體"/>
          <w:sz w:val="28"/>
          <w:szCs w:val="28"/>
          <w:lang w:val="pt-PT"/>
        </w:rPr>
      </w:pPr>
      <w:r w:rsidRPr="002D5974">
        <w:rPr>
          <w:rFonts w:ascii="標楷體" w:eastAsia="標楷體" w:hAnsi="標楷體" w:hint="eastAsia"/>
          <w:sz w:val="28"/>
          <w:szCs w:val="28"/>
          <w:lang w:val="pt-PT"/>
        </w:rPr>
        <w:t xml:space="preserve">   </w:t>
      </w:r>
      <w:r w:rsidRPr="002D5974">
        <w:rPr>
          <w:rFonts w:ascii="標楷體" w:eastAsia="標楷體" w:hAnsi="標楷體" w:hint="eastAsia"/>
          <w:sz w:val="28"/>
          <w:szCs w:val="28"/>
        </w:rPr>
        <w:sym w:font="Wingdings" w:char="F0E0"/>
      </w:r>
      <w:r w:rsidRPr="002D5974">
        <w:rPr>
          <w:rFonts w:ascii="標楷體" w:eastAsia="標楷體" w:hAnsi="標楷體" w:hint="eastAsia"/>
          <w:sz w:val="28"/>
          <w:szCs w:val="28"/>
        </w:rPr>
        <w:t xml:space="preserve"> </w:t>
      </w:r>
      <w:r w:rsidRPr="002D5974">
        <w:rPr>
          <w:rFonts w:ascii="標楷體" w:eastAsia="標楷體" w:hAnsi="標楷體" w:hint="eastAsia"/>
          <w:sz w:val="28"/>
          <w:szCs w:val="28"/>
          <w:lang w:val="pt-PT"/>
        </w:rPr>
        <w:t>代表本特區（參見</w:t>
      </w:r>
      <w:r w:rsidRPr="002D5974">
        <w:rPr>
          <w:rFonts w:eastAsia="標楷體" w:hAnsi="標楷體"/>
          <w:sz w:val="28"/>
          <w:szCs w:val="28"/>
        </w:rPr>
        <w:t>《民事訴訟法典》第</w:t>
      </w:r>
      <w:r w:rsidRPr="002D5974">
        <w:rPr>
          <w:rFonts w:eastAsia="標楷體" w:hint="eastAsia"/>
          <w:sz w:val="28"/>
          <w:szCs w:val="28"/>
        </w:rPr>
        <w:t>52</w:t>
      </w:r>
      <w:r w:rsidRPr="002D5974">
        <w:rPr>
          <w:rFonts w:eastAsia="標楷體" w:hAnsi="標楷體"/>
          <w:sz w:val="28"/>
          <w:szCs w:val="28"/>
        </w:rPr>
        <w:t>條</w:t>
      </w:r>
      <w:r w:rsidRPr="002D5974">
        <w:rPr>
          <w:rFonts w:ascii="標楷體" w:eastAsia="標楷體" w:hAnsi="標楷體" w:hint="eastAsia"/>
          <w:sz w:val="28"/>
          <w:szCs w:val="28"/>
          <w:lang w:val="pt-PT"/>
        </w:rPr>
        <w:t>）；代表本特區公</w:t>
      </w:r>
      <w:r w:rsidRPr="002D5974">
        <w:rPr>
          <w:rFonts w:ascii="標楷體" w:eastAsia="標楷體" w:hAnsi="標楷體" w:hint="eastAsia"/>
          <w:sz w:val="28"/>
          <w:szCs w:val="28"/>
          <w:lang w:val="pt-PT"/>
        </w:rPr>
        <w:lastRenderedPageBreak/>
        <w:t>庫，代表特區追收欠付之訴訟費；</w:t>
      </w:r>
    </w:p>
    <w:p w:rsidR="00102371" w:rsidRPr="002D5974" w:rsidRDefault="00102371" w:rsidP="002B323B">
      <w:pPr>
        <w:tabs>
          <w:tab w:val="left" w:leader="dot" w:pos="7920"/>
        </w:tabs>
        <w:spacing w:beforeLines="50" w:before="180" w:line="460" w:lineRule="exact"/>
        <w:ind w:left="840" w:hangingChars="300" w:hanging="840"/>
        <w:jc w:val="both"/>
        <w:rPr>
          <w:rFonts w:ascii="標楷體" w:eastAsia="標楷體" w:hAnsi="標楷體"/>
          <w:sz w:val="28"/>
          <w:szCs w:val="28"/>
          <w:lang w:val="pt-PT"/>
        </w:rPr>
      </w:pPr>
      <w:r w:rsidRPr="002D5974">
        <w:rPr>
          <w:rFonts w:ascii="標楷體" w:eastAsia="標楷體" w:hAnsi="標楷體" w:hint="eastAsia"/>
          <w:sz w:val="28"/>
          <w:szCs w:val="28"/>
          <w:lang w:val="pt-PT"/>
        </w:rPr>
        <w:t xml:space="preserve">   </w:t>
      </w:r>
      <w:r w:rsidRPr="002D5974">
        <w:rPr>
          <w:rFonts w:ascii="標楷體" w:eastAsia="標楷體" w:hAnsi="標楷體" w:hint="eastAsia"/>
          <w:sz w:val="28"/>
          <w:szCs w:val="28"/>
        </w:rPr>
        <w:sym w:font="Wingdings" w:char="F0E0"/>
      </w:r>
      <w:r w:rsidRPr="002D5974">
        <w:rPr>
          <w:rFonts w:ascii="標楷體" w:eastAsia="標楷體" w:hAnsi="標楷體" w:hint="eastAsia"/>
          <w:sz w:val="28"/>
          <w:szCs w:val="28"/>
        </w:rPr>
        <w:t xml:space="preserve"> </w:t>
      </w:r>
      <w:r w:rsidRPr="002D5974">
        <w:rPr>
          <w:rFonts w:ascii="標楷體" w:eastAsia="標楷體" w:hAnsi="標楷體" w:hint="eastAsia"/>
          <w:sz w:val="28"/>
          <w:szCs w:val="28"/>
          <w:lang w:val="pt-PT"/>
        </w:rPr>
        <w:t>領導偵查及進行刑事檢控的機關（是檢察院的其中一項主要任務；領導刑事偵查，主要是指在刑事案件的調查中，由檢察院領導刑事警察部門 － 主要是指澳門治安警察局、司法警察局等 － 開展刑事偵查，以監督警察部門所進行的偵查行為的合法性；推動刑事訴訟的進行，主要是指檢察院在刑事訴訟方面具有立案，按偵查工作的結果決定是否提起公訴，在法院審判中出庭支援公訴，以及採取任何有利於促進刑事訴訟程序進行的措施的權力）</w:t>
      </w:r>
      <w:r w:rsidR="007B44C1" w:rsidRPr="002D5974">
        <w:rPr>
          <w:rFonts w:ascii="標楷體" w:eastAsia="標楷體" w:hAnsi="標楷體" w:hint="eastAsia"/>
          <w:sz w:val="28"/>
          <w:szCs w:val="28"/>
          <w:lang w:val="pt-PT"/>
        </w:rPr>
        <w:t>；</w:t>
      </w:r>
    </w:p>
    <w:p w:rsidR="00102371" w:rsidRPr="002D5974" w:rsidRDefault="00102371" w:rsidP="002B323B">
      <w:pPr>
        <w:pStyle w:val="ae"/>
        <w:tabs>
          <w:tab w:val="left" w:leader="dot" w:pos="7920"/>
        </w:tabs>
        <w:spacing w:beforeLines="50" w:before="180" w:line="460" w:lineRule="exact"/>
        <w:ind w:leftChars="176" w:left="842" w:hangingChars="150" w:hanging="420"/>
        <w:jc w:val="both"/>
        <w:rPr>
          <w:rFonts w:ascii="標楷體" w:eastAsia="標楷體" w:hAnsi="標楷體"/>
          <w:sz w:val="28"/>
          <w:szCs w:val="28"/>
          <w:lang w:val="pt-PT"/>
        </w:rPr>
      </w:pPr>
      <w:r w:rsidRPr="002D5974">
        <w:rPr>
          <w:rFonts w:ascii="標楷體" w:eastAsia="標楷體" w:hAnsi="標楷體" w:hint="eastAsia"/>
          <w:sz w:val="28"/>
          <w:szCs w:val="28"/>
        </w:rPr>
        <w:sym w:font="Wingdings" w:char="F0E0"/>
      </w:r>
      <w:r w:rsidRPr="002D5974">
        <w:rPr>
          <w:rFonts w:ascii="標楷體" w:eastAsia="標楷體" w:hAnsi="標楷體" w:hint="eastAsia"/>
          <w:sz w:val="28"/>
          <w:szCs w:val="28"/>
        </w:rPr>
        <w:t xml:space="preserve"> </w:t>
      </w:r>
      <w:r w:rsidRPr="002D5974">
        <w:rPr>
          <w:rFonts w:ascii="標楷體" w:eastAsia="標楷體" w:hAnsi="標楷體" w:hint="eastAsia"/>
          <w:sz w:val="28"/>
          <w:szCs w:val="28"/>
          <w:lang w:val="pt-PT"/>
        </w:rPr>
        <w:t>維護合法性</w:t>
      </w:r>
      <w:r w:rsidR="007B44C1" w:rsidRPr="002D5974">
        <w:rPr>
          <w:rFonts w:ascii="標楷體" w:eastAsia="標楷體" w:hAnsi="標楷體" w:hint="eastAsia"/>
          <w:sz w:val="28"/>
          <w:szCs w:val="28"/>
          <w:lang w:val="pt-PT"/>
        </w:rPr>
        <w:t>（</w:t>
      </w:r>
      <w:r w:rsidR="007B44C1" w:rsidRPr="002D5974">
        <w:rPr>
          <w:rFonts w:ascii="標楷體" w:eastAsia="標楷體" w:hAnsi="標楷體" w:hint="eastAsia"/>
          <w:sz w:val="28"/>
          <w:szCs w:val="28"/>
          <w:lang w:val="pt-PT" w:eastAsia="zh-HK"/>
        </w:rPr>
        <w:t>例如：檢察院得為著嫌犯的利益針對刑事有罪裁判提起上訴</w:t>
      </w:r>
      <w:r w:rsidR="007B44C1" w:rsidRPr="002D5974">
        <w:rPr>
          <w:rFonts w:ascii="標楷體" w:eastAsia="標楷體" w:hAnsi="標楷體" w:hint="eastAsia"/>
          <w:sz w:val="28"/>
          <w:szCs w:val="28"/>
          <w:lang w:val="pt-PT"/>
        </w:rPr>
        <w:t>）。</w:t>
      </w:r>
    </w:p>
    <w:p w:rsidR="007B44C1" w:rsidRPr="002D5974" w:rsidRDefault="007B44C1" w:rsidP="002B323B">
      <w:pPr>
        <w:pStyle w:val="ae"/>
        <w:tabs>
          <w:tab w:val="left" w:leader="dot" w:pos="7920"/>
        </w:tabs>
        <w:spacing w:beforeLines="50" w:before="180" w:line="460" w:lineRule="exact"/>
        <w:ind w:leftChars="0" w:left="420"/>
        <w:jc w:val="both"/>
        <w:rPr>
          <w:b/>
          <w:sz w:val="28"/>
          <w:szCs w:val="28"/>
        </w:rPr>
      </w:pPr>
    </w:p>
    <w:p w:rsidR="00D13900" w:rsidRPr="002D5974" w:rsidRDefault="00F4363F" w:rsidP="002B323B">
      <w:pPr>
        <w:pStyle w:val="ae"/>
        <w:numPr>
          <w:ilvl w:val="0"/>
          <w:numId w:val="14"/>
        </w:numPr>
        <w:tabs>
          <w:tab w:val="left" w:leader="dot" w:pos="7920"/>
        </w:tabs>
        <w:spacing w:beforeLines="50" w:before="180" w:line="460" w:lineRule="exact"/>
        <w:ind w:leftChars="0"/>
        <w:jc w:val="both"/>
        <w:rPr>
          <w:b/>
          <w:sz w:val="28"/>
          <w:szCs w:val="28"/>
        </w:rPr>
      </w:pPr>
      <w:r w:rsidRPr="002D5974">
        <w:rPr>
          <w:rFonts w:hint="eastAsia"/>
          <w:b/>
          <w:sz w:val="28"/>
          <w:szCs w:val="28"/>
          <w:lang w:val="pt-PT"/>
        </w:rPr>
        <w:t>法院及檢察院的組職架構</w:t>
      </w:r>
    </w:p>
    <w:p w:rsidR="00F4363F" w:rsidRPr="002D5974" w:rsidRDefault="00F4363F" w:rsidP="002B323B">
      <w:pPr>
        <w:spacing w:beforeLines="50" w:before="180" w:line="460" w:lineRule="exact"/>
        <w:ind w:firstLineChars="131" w:firstLine="367"/>
        <w:jc w:val="both"/>
        <w:rPr>
          <w:rFonts w:eastAsia="標楷體" w:hAnsi="標楷體"/>
          <w:sz w:val="28"/>
          <w:szCs w:val="28"/>
          <w:lang w:val="pt-PT"/>
        </w:rPr>
      </w:pPr>
      <w:r w:rsidRPr="002D5974">
        <w:rPr>
          <w:rFonts w:eastAsia="標楷體" w:hAnsi="標楷體"/>
          <w:sz w:val="28"/>
          <w:szCs w:val="28"/>
          <w:lang w:val="pt-PT"/>
        </w:rPr>
        <w:t>第</w:t>
      </w:r>
      <w:r w:rsidRPr="002D5974">
        <w:rPr>
          <w:rFonts w:eastAsia="標楷體"/>
          <w:sz w:val="28"/>
          <w:szCs w:val="28"/>
          <w:lang w:val="pt-PT"/>
        </w:rPr>
        <w:t>9/1999</w:t>
      </w:r>
      <w:r w:rsidRPr="002D5974">
        <w:rPr>
          <w:rFonts w:eastAsia="標楷體" w:hAnsi="標楷體"/>
          <w:sz w:val="28"/>
          <w:szCs w:val="28"/>
          <w:lang w:val="pt-PT"/>
        </w:rPr>
        <w:t>號法律《司法組織綱要法》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27</w:t>
      </w:r>
      <w:r w:rsidRPr="002D5974">
        <w:rPr>
          <w:rFonts w:eastAsia="標楷體" w:hAnsi="標楷體" w:hint="eastAsia"/>
          <w:sz w:val="28"/>
          <w:szCs w:val="28"/>
          <w:lang w:val="pt-PT"/>
        </w:rPr>
        <w:t>條規定：第一審法院分為初級法院及行政法院；初級法院由民事法庭</w:t>
      </w:r>
      <w:r w:rsidRPr="002D5974">
        <w:rPr>
          <w:rFonts w:eastAsia="標楷體" w:hAnsi="標楷體" w:hint="eastAsia"/>
          <w:sz w:val="28"/>
          <w:szCs w:val="28"/>
        </w:rPr>
        <w:t>、刑事起訴法庭、輕微民事案件法庭、刑事法庭、勞動法庭、家庭及未成年人法庭組成</w:t>
      </w:r>
      <w:r w:rsidRPr="002D5974">
        <w:rPr>
          <w:rFonts w:eastAsia="標楷體" w:hAnsi="標楷體"/>
          <w:sz w:val="28"/>
          <w:szCs w:val="28"/>
          <w:lang w:val="pt-PT"/>
        </w:rPr>
        <w:t>。</w:t>
      </w:r>
    </w:p>
    <w:p w:rsidR="002E1667" w:rsidRPr="002D5974" w:rsidRDefault="002E1667" w:rsidP="002B323B">
      <w:pPr>
        <w:spacing w:beforeLines="50" w:before="180" w:line="460" w:lineRule="exact"/>
        <w:ind w:firstLineChars="131" w:firstLine="367"/>
        <w:jc w:val="both"/>
        <w:rPr>
          <w:sz w:val="28"/>
          <w:szCs w:val="28"/>
          <w:lang w:val="pt-PT"/>
        </w:rPr>
      </w:pPr>
      <w:r w:rsidRPr="002D5974">
        <w:rPr>
          <w:rFonts w:hint="eastAsia"/>
          <w:sz w:val="28"/>
          <w:szCs w:val="28"/>
          <w:lang w:val="pt-PT"/>
        </w:rPr>
        <w:t>第一審法院的管轄權</w:t>
      </w:r>
    </w:p>
    <w:p w:rsidR="00115041" w:rsidRPr="002D5974" w:rsidRDefault="00115041" w:rsidP="002B323B">
      <w:pPr>
        <w:spacing w:beforeLines="50" w:before="180" w:line="460" w:lineRule="exact"/>
        <w:ind w:firstLine="419"/>
        <w:jc w:val="both"/>
        <w:rPr>
          <w:rFonts w:eastAsia="標楷體"/>
          <w:sz w:val="28"/>
          <w:szCs w:val="28"/>
        </w:rPr>
      </w:pPr>
      <w:r w:rsidRPr="002D5974">
        <w:rPr>
          <w:rFonts w:eastAsia="標楷體" w:hAnsi="標楷體" w:hint="eastAsia"/>
          <w:sz w:val="28"/>
          <w:szCs w:val="28"/>
          <w:lang w:val="pt-PT"/>
        </w:rPr>
        <w:t>民事法庭的管轄權（見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28</w:t>
      </w:r>
      <w:r w:rsidRPr="002D5974">
        <w:rPr>
          <w:rFonts w:eastAsia="標楷體" w:hAnsi="標楷體" w:hint="eastAsia"/>
          <w:sz w:val="28"/>
          <w:szCs w:val="28"/>
          <w:lang w:val="pt-PT"/>
        </w:rPr>
        <w:t>條規定）</w:t>
      </w:r>
      <w:r w:rsidRPr="002D5974">
        <w:rPr>
          <w:rFonts w:eastAsia="標楷體"/>
          <w:sz w:val="28"/>
          <w:szCs w:val="28"/>
        </w:rPr>
        <w:t>。</w:t>
      </w:r>
    </w:p>
    <w:p w:rsidR="00115041" w:rsidRPr="002D5974" w:rsidRDefault="00115041" w:rsidP="002B323B">
      <w:pPr>
        <w:spacing w:beforeLines="50" w:before="180" w:line="460" w:lineRule="exact"/>
        <w:jc w:val="both"/>
        <w:rPr>
          <w:rFonts w:eastAsia="標楷體"/>
          <w:sz w:val="28"/>
          <w:szCs w:val="28"/>
        </w:rPr>
      </w:pPr>
      <w:r w:rsidRPr="002D5974">
        <w:rPr>
          <w:rFonts w:eastAsia="標楷體" w:hint="eastAsia"/>
          <w:sz w:val="28"/>
          <w:szCs w:val="28"/>
        </w:rPr>
        <w:tab/>
      </w:r>
      <w:r w:rsidRPr="002D5974">
        <w:rPr>
          <w:rFonts w:eastAsia="標楷體" w:hAnsi="標楷體" w:hint="eastAsia"/>
          <w:sz w:val="28"/>
          <w:szCs w:val="28"/>
          <w:lang w:val="pt-PT"/>
        </w:rPr>
        <w:t>刑事起訴法庭的管轄權（見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29</w:t>
      </w:r>
      <w:r w:rsidRPr="002D5974">
        <w:rPr>
          <w:rFonts w:eastAsia="標楷體" w:hAnsi="標楷體" w:hint="eastAsia"/>
          <w:sz w:val="28"/>
          <w:szCs w:val="28"/>
          <w:lang w:val="pt-PT"/>
        </w:rPr>
        <w:t>條規定）</w:t>
      </w:r>
      <w:r w:rsidRPr="002D5974">
        <w:rPr>
          <w:rFonts w:eastAsia="標楷體"/>
          <w:sz w:val="28"/>
          <w:szCs w:val="28"/>
        </w:rPr>
        <w:t>。</w:t>
      </w:r>
    </w:p>
    <w:p w:rsidR="00115041" w:rsidRPr="002D5974" w:rsidRDefault="00115041" w:rsidP="002B323B">
      <w:pPr>
        <w:spacing w:beforeLines="50" w:before="180" w:line="460" w:lineRule="exact"/>
        <w:ind w:firstLine="480"/>
        <w:jc w:val="both"/>
        <w:rPr>
          <w:rFonts w:eastAsia="標楷體"/>
          <w:sz w:val="28"/>
          <w:szCs w:val="28"/>
        </w:rPr>
      </w:pPr>
      <w:r w:rsidRPr="002D5974">
        <w:rPr>
          <w:rFonts w:eastAsia="標楷體" w:hAnsi="標楷體" w:hint="eastAsia"/>
          <w:sz w:val="28"/>
          <w:szCs w:val="28"/>
        </w:rPr>
        <w:t>輕微民事案件法庭</w:t>
      </w:r>
      <w:r w:rsidRPr="002D5974">
        <w:rPr>
          <w:rFonts w:eastAsia="標楷體" w:hAnsi="標楷體" w:hint="eastAsia"/>
          <w:sz w:val="28"/>
          <w:szCs w:val="28"/>
          <w:lang w:val="pt-PT"/>
        </w:rPr>
        <w:t>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29</w:t>
      </w:r>
      <w:r w:rsidRPr="002D5974">
        <w:rPr>
          <w:rFonts w:eastAsia="標楷體" w:hAnsi="標楷體" w:hint="eastAsia"/>
          <w:sz w:val="28"/>
          <w:szCs w:val="28"/>
          <w:lang w:val="pt-PT"/>
        </w:rPr>
        <w:t>條</w:t>
      </w:r>
      <w:r w:rsidRPr="002D5974">
        <w:rPr>
          <w:rFonts w:eastAsia="標楷體" w:hAnsi="標楷體" w:hint="eastAsia"/>
          <w:sz w:val="28"/>
          <w:szCs w:val="28"/>
          <w:lang w:val="pt-PT"/>
        </w:rPr>
        <w:t>-A</w:t>
      </w:r>
      <w:r w:rsidRPr="002D5974">
        <w:rPr>
          <w:rFonts w:eastAsia="標楷體" w:hAnsi="標楷體" w:hint="eastAsia"/>
          <w:sz w:val="28"/>
          <w:szCs w:val="28"/>
          <w:lang w:val="pt-PT"/>
        </w:rPr>
        <w:t>規定）</w:t>
      </w:r>
      <w:r w:rsidRPr="002D5974">
        <w:rPr>
          <w:rFonts w:eastAsia="標楷體"/>
          <w:sz w:val="28"/>
          <w:szCs w:val="28"/>
        </w:rPr>
        <w:t>。</w:t>
      </w:r>
    </w:p>
    <w:p w:rsidR="00115041" w:rsidRPr="002D5974" w:rsidRDefault="00115041" w:rsidP="002B323B">
      <w:pPr>
        <w:spacing w:beforeLines="50" w:before="180" w:line="460" w:lineRule="exact"/>
        <w:ind w:firstLine="480"/>
        <w:jc w:val="both"/>
        <w:rPr>
          <w:rFonts w:eastAsia="標楷體"/>
          <w:sz w:val="28"/>
          <w:szCs w:val="28"/>
        </w:rPr>
      </w:pPr>
      <w:r w:rsidRPr="002D5974">
        <w:rPr>
          <w:rFonts w:eastAsia="標楷體" w:hAnsi="標楷體" w:hint="eastAsia"/>
          <w:sz w:val="28"/>
          <w:szCs w:val="28"/>
        </w:rPr>
        <w:lastRenderedPageBreak/>
        <w:t>刑事法庭</w:t>
      </w:r>
      <w:r w:rsidRPr="002D5974">
        <w:rPr>
          <w:rFonts w:eastAsia="標楷體" w:hAnsi="標楷體" w:hint="eastAsia"/>
          <w:sz w:val="28"/>
          <w:szCs w:val="28"/>
          <w:lang w:val="pt-PT"/>
        </w:rPr>
        <w:t>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29</w:t>
      </w:r>
      <w:r w:rsidRPr="002D5974">
        <w:rPr>
          <w:rFonts w:eastAsia="標楷體" w:hAnsi="標楷體" w:hint="eastAsia"/>
          <w:sz w:val="28"/>
          <w:szCs w:val="28"/>
          <w:lang w:val="pt-PT"/>
        </w:rPr>
        <w:t>條</w:t>
      </w:r>
      <w:r w:rsidRPr="002D5974">
        <w:rPr>
          <w:rFonts w:eastAsia="標楷體" w:hAnsi="標楷體" w:hint="eastAsia"/>
          <w:sz w:val="28"/>
          <w:szCs w:val="28"/>
          <w:lang w:val="pt-PT"/>
        </w:rPr>
        <w:t>-B</w:t>
      </w:r>
      <w:r w:rsidRPr="002D5974">
        <w:rPr>
          <w:rFonts w:eastAsia="標楷體" w:hAnsi="標楷體" w:hint="eastAsia"/>
          <w:sz w:val="28"/>
          <w:szCs w:val="28"/>
          <w:lang w:val="pt-PT"/>
        </w:rPr>
        <w:t>規定）</w:t>
      </w:r>
      <w:r w:rsidRPr="002D5974">
        <w:rPr>
          <w:rFonts w:eastAsia="標楷體"/>
          <w:sz w:val="28"/>
          <w:szCs w:val="28"/>
        </w:rPr>
        <w:t>。</w:t>
      </w:r>
    </w:p>
    <w:p w:rsidR="00115041" w:rsidRPr="002D5974" w:rsidRDefault="00115041" w:rsidP="002B323B">
      <w:pPr>
        <w:spacing w:beforeLines="50" w:before="180" w:line="460" w:lineRule="exact"/>
        <w:ind w:firstLine="480"/>
        <w:jc w:val="both"/>
        <w:rPr>
          <w:rFonts w:eastAsia="標楷體"/>
          <w:sz w:val="28"/>
          <w:szCs w:val="28"/>
        </w:rPr>
      </w:pPr>
      <w:r w:rsidRPr="002D5974">
        <w:rPr>
          <w:rFonts w:eastAsia="標楷體" w:hAnsi="標楷體" w:hint="eastAsia"/>
          <w:sz w:val="28"/>
          <w:szCs w:val="28"/>
        </w:rPr>
        <w:t>勞動法庭</w:t>
      </w:r>
      <w:r w:rsidRPr="002D5974">
        <w:rPr>
          <w:rFonts w:eastAsia="標楷體" w:hAnsi="標楷體" w:hint="eastAsia"/>
          <w:sz w:val="28"/>
          <w:szCs w:val="28"/>
          <w:lang w:val="pt-PT"/>
        </w:rPr>
        <w:t>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29</w:t>
      </w:r>
      <w:r w:rsidRPr="002D5974">
        <w:rPr>
          <w:rFonts w:eastAsia="標楷體" w:hAnsi="標楷體" w:hint="eastAsia"/>
          <w:sz w:val="28"/>
          <w:szCs w:val="28"/>
          <w:lang w:val="pt-PT"/>
        </w:rPr>
        <w:t>條</w:t>
      </w:r>
      <w:r w:rsidRPr="002D5974">
        <w:rPr>
          <w:rFonts w:eastAsia="標楷體" w:hAnsi="標楷體" w:hint="eastAsia"/>
          <w:sz w:val="28"/>
          <w:szCs w:val="28"/>
          <w:lang w:val="pt-PT"/>
        </w:rPr>
        <w:t>-C</w:t>
      </w:r>
      <w:r w:rsidRPr="002D5974">
        <w:rPr>
          <w:rFonts w:eastAsia="標楷體" w:hAnsi="標楷體" w:hint="eastAsia"/>
          <w:sz w:val="28"/>
          <w:szCs w:val="28"/>
          <w:lang w:val="pt-PT"/>
        </w:rPr>
        <w:t>規定）</w:t>
      </w:r>
      <w:r w:rsidRPr="002D5974">
        <w:rPr>
          <w:rFonts w:eastAsia="標楷體"/>
          <w:sz w:val="28"/>
          <w:szCs w:val="28"/>
        </w:rPr>
        <w:t>。</w:t>
      </w:r>
    </w:p>
    <w:p w:rsidR="00115041" w:rsidRPr="002D5974" w:rsidRDefault="00115041" w:rsidP="002B323B">
      <w:pPr>
        <w:spacing w:beforeLines="50" w:before="180" w:line="460" w:lineRule="exact"/>
        <w:ind w:firstLine="480"/>
        <w:jc w:val="both"/>
        <w:rPr>
          <w:rFonts w:eastAsia="標楷體"/>
          <w:sz w:val="28"/>
          <w:szCs w:val="28"/>
        </w:rPr>
      </w:pPr>
      <w:r w:rsidRPr="002D5974">
        <w:rPr>
          <w:rFonts w:eastAsia="標楷體" w:hAnsi="標楷體" w:hint="eastAsia"/>
          <w:sz w:val="28"/>
          <w:szCs w:val="28"/>
        </w:rPr>
        <w:t>家庭及未成年人法庭</w:t>
      </w:r>
      <w:r w:rsidRPr="002D5974">
        <w:rPr>
          <w:rFonts w:eastAsia="標楷體" w:hAnsi="標楷體" w:hint="eastAsia"/>
          <w:sz w:val="28"/>
          <w:szCs w:val="28"/>
          <w:lang w:val="pt-PT"/>
        </w:rPr>
        <w:t>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29</w:t>
      </w:r>
      <w:r w:rsidRPr="002D5974">
        <w:rPr>
          <w:rFonts w:eastAsia="標楷體" w:hAnsi="標楷體" w:hint="eastAsia"/>
          <w:sz w:val="28"/>
          <w:szCs w:val="28"/>
          <w:lang w:val="pt-PT"/>
        </w:rPr>
        <w:t>條</w:t>
      </w:r>
      <w:r w:rsidRPr="002D5974">
        <w:rPr>
          <w:rFonts w:eastAsia="標楷體" w:hAnsi="標楷體" w:hint="eastAsia"/>
          <w:sz w:val="28"/>
          <w:szCs w:val="28"/>
          <w:lang w:val="pt-PT"/>
        </w:rPr>
        <w:t>-D</w:t>
      </w:r>
      <w:r w:rsidRPr="002D5974">
        <w:rPr>
          <w:rFonts w:eastAsia="標楷體" w:hAnsi="標楷體" w:hint="eastAsia"/>
          <w:sz w:val="28"/>
          <w:szCs w:val="28"/>
          <w:lang w:val="pt-PT"/>
        </w:rPr>
        <w:t>規定）</w:t>
      </w:r>
      <w:r w:rsidRPr="002D5974">
        <w:rPr>
          <w:rFonts w:eastAsia="標楷體"/>
          <w:sz w:val="28"/>
          <w:szCs w:val="28"/>
        </w:rPr>
        <w:t>。</w:t>
      </w:r>
    </w:p>
    <w:p w:rsidR="002E1667" w:rsidRPr="002D5974" w:rsidRDefault="00115041" w:rsidP="002B323B">
      <w:pPr>
        <w:spacing w:beforeLines="50" w:before="180" w:line="460" w:lineRule="exact"/>
        <w:ind w:firstLineChars="131" w:firstLine="367"/>
        <w:jc w:val="both"/>
        <w:rPr>
          <w:rFonts w:eastAsia="標楷體"/>
          <w:sz w:val="28"/>
          <w:szCs w:val="28"/>
        </w:rPr>
      </w:pPr>
      <w:r w:rsidRPr="002D5974">
        <w:rPr>
          <w:rFonts w:eastAsia="標楷體" w:hAnsi="標楷體" w:hint="eastAsia"/>
          <w:sz w:val="28"/>
          <w:szCs w:val="28"/>
        </w:rPr>
        <w:t>行政法院</w:t>
      </w:r>
      <w:r w:rsidRPr="002D5974">
        <w:rPr>
          <w:rFonts w:eastAsia="標楷體" w:hAnsi="標楷體" w:hint="eastAsia"/>
          <w:sz w:val="28"/>
          <w:szCs w:val="28"/>
          <w:lang w:val="pt-PT"/>
        </w:rPr>
        <w:t>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30</w:t>
      </w:r>
      <w:r w:rsidRPr="002D5974">
        <w:rPr>
          <w:rFonts w:eastAsia="標楷體" w:hAnsi="標楷體" w:hint="eastAsia"/>
          <w:sz w:val="28"/>
          <w:szCs w:val="28"/>
          <w:lang w:val="pt-PT"/>
        </w:rPr>
        <w:t>條規定）</w:t>
      </w:r>
      <w:r w:rsidRPr="002D5974">
        <w:rPr>
          <w:rFonts w:eastAsia="標楷體"/>
          <w:sz w:val="28"/>
          <w:szCs w:val="28"/>
        </w:rPr>
        <w:t>。</w:t>
      </w:r>
    </w:p>
    <w:p w:rsidR="0078302E" w:rsidRPr="002D5974" w:rsidRDefault="0078302E" w:rsidP="002B323B">
      <w:pPr>
        <w:spacing w:beforeLines="50" w:before="180" w:line="460" w:lineRule="exact"/>
        <w:ind w:firstLineChars="130" w:firstLine="364"/>
        <w:jc w:val="both"/>
        <w:rPr>
          <w:sz w:val="28"/>
          <w:szCs w:val="28"/>
          <w:lang w:val="pt-PT"/>
        </w:rPr>
      </w:pPr>
      <w:r w:rsidRPr="002D5974">
        <w:rPr>
          <w:rFonts w:hint="eastAsia"/>
          <w:sz w:val="28"/>
          <w:szCs w:val="28"/>
          <w:lang w:val="pt-PT"/>
        </w:rPr>
        <w:t>中級法院的管轄權</w:t>
      </w:r>
    </w:p>
    <w:p w:rsidR="0078302E" w:rsidRPr="002D5974" w:rsidRDefault="0078302E" w:rsidP="002B323B">
      <w:pPr>
        <w:spacing w:beforeLines="50" w:before="180" w:line="460" w:lineRule="exact"/>
        <w:ind w:firstLineChars="131" w:firstLine="367"/>
        <w:jc w:val="both"/>
        <w:rPr>
          <w:rFonts w:eastAsia="標楷體"/>
          <w:sz w:val="28"/>
          <w:szCs w:val="28"/>
        </w:rPr>
      </w:pPr>
      <w:r w:rsidRPr="002D5974">
        <w:rPr>
          <w:rFonts w:eastAsia="標楷體" w:hAnsi="標楷體" w:hint="eastAsia"/>
          <w:sz w:val="28"/>
          <w:szCs w:val="28"/>
        </w:rPr>
        <w:t>中級法院</w:t>
      </w:r>
      <w:r w:rsidRPr="002D5974">
        <w:rPr>
          <w:rFonts w:eastAsia="標楷體" w:hAnsi="標楷體" w:hint="eastAsia"/>
          <w:sz w:val="28"/>
          <w:szCs w:val="28"/>
          <w:lang w:val="pt-PT"/>
        </w:rPr>
        <w:t>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36</w:t>
      </w:r>
      <w:r w:rsidRPr="002D5974">
        <w:rPr>
          <w:rFonts w:eastAsia="標楷體" w:hAnsi="標楷體" w:hint="eastAsia"/>
          <w:sz w:val="28"/>
          <w:szCs w:val="28"/>
          <w:lang w:val="pt-PT"/>
        </w:rPr>
        <w:t>條規定）</w:t>
      </w:r>
      <w:r w:rsidRPr="002D5974">
        <w:rPr>
          <w:rFonts w:eastAsia="標楷體"/>
          <w:sz w:val="28"/>
          <w:szCs w:val="28"/>
        </w:rPr>
        <w:t>。</w:t>
      </w:r>
    </w:p>
    <w:p w:rsidR="0078302E" w:rsidRPr="002D5974" w:rsidRDefault="0078302E" w:rsidP="002B323B">
      <w:pPr>
        <w:spacing w:beforeLines="50" w:before="180" w:line="460" w:lineRule="exact"/>
        <w:ind w:firstLineChars="131" w:firstLine="367"/>
        <w:jc w:val="both"/>
        <w:rPr>
          <w:rFonts w:eastAsia="標楷體"/>
          <w:sz w:val="28"/>
          <w:szCs w:val="28"/>
        </w:rPr>
      </w:pPr>
      <w:r w:rsidRPr="002D5974">
        <w:rPr>
          <w:rFonts w:eastAsia="標楷體" w:hint="eastAsia"/>
          <w:sz w:val="28"/>
          <w:szCs w:val="28"/>
          <w:lang w:eastAsia="zh-HK"/>
        </w:rPr>
        <w:t>也參見</w:t>
      </w:r>
      <w:r w:rsidRPr="002D5974">
        <w:rPr>
          <w:rFonts w:ascii="新細明體" w:hAnsi="新細明體" w:hint="eastAsia"/>
          <w:sz w:val="28"/>
          <w:szCs w:val="28"/>
        </w:rPr>
        <w:t>《中級法院內部運作規章》。</w:t>
      </w:r>
    </w:p>
    <w:p w:rsidR="0078302E" w:rsidRPr="002D5974" w:rsidRDefault="0078302E" w:rsidP="002B323B">
      <w:pPr>
        <w:spacing w:beforeLines="50" w:before="180" w:line="460" w:lineRule="exact"/>
        <w:ind w:firstLineChars="131" w:firstLine="367"/>
        <w:jc w:val="both"/>
        <w:rPr>
          <w:sz w:val="28"/>
          <w:szCs w:val="28"/>
          <w:lang w:val="pt-PT"/>
        </w:rPr>
      </w:pPr>
      <w:r w:rsidRPr="002D5974">
        <w:rPr>
          <w:rFonts w:hint="eastAsia"/>
          <w:sz w:val="28"/>
          <w:szCs w:val="28"/>
          <w:lang w:val="pt-PT"/>
        </w:rPr>
        <w:t>終審法院的管轄權</w:t>
      </w:r>
    </w:p>
    <w:p w:rsidR="0078302E" w:rsidRPr="002D5974" w:rsidRDefault="0078302E" w:rsidP="002B323B">
      <w:pPr>
        <w:spacing w:beforeLines="50" w:before="180" w:line="460" w:lineRule="exact"/>
        <w:ind w:firstLineChars="131" w:firstLine="367"/>
        <w:jc w:val="both"/>
        <w:rPr>
          <w:rFonts w:eastAsia="標楷體"/>
          <w:sz w:val="28"/>
          <w:szCs w:val="28"/>
        </w:rPr>
      </w:pPr>
      <w:r w:rsidRPr="002D5974">
        <w:rPr>
          <w:rFonts w:eastAsia="標楷體" w:hAnsi="標楷體" w:hint="eastAsia"/>
          <w:sz w:val="28"/>
          <w:szCs w:val="28"/>
        </w:rPr>
        <w:t>終審法院</w:t>
      </w:r>
      <w:r w:rsidRPr="002D5974">
        <w:rPr>
          <w:rFonts w:eastAsia="標楷體" w:hAnsi="標楷體" w:hint="eastAsia"/>
          <w:sz w:val="28"/>
          <w:szCs w:val="28"/>
          <w:lang w:val="pt-PT"/>
        </w:rPr>
        <w:t>的管轄權（見</w:t>
      </w:r>
      <w:r w:rsidRPr="002D5974">
        <w:rPr>
          <w:rFonts w:eastAsia="標楷體" w:hAnsi="標楷體"/>
          <w:sz w:val="28"/>
          <w:szCs w:val="28"/>
          <w:lang w:val="pt-PT"/>
        </w:rPr>
        <w:t>《司法組織綱要法》</w:t>
      </w:r>
      <w:r w:rsidRPr="002D5974">
        <w:rPr>
          <w:rFonts w:eastAsia="標楷體" w:hAnsi="標楷體" w:hint="eastAsia"/>
          <w:sz w:val="28"/>
          <w:szCs w:val="28"/>
          <w:lang w:val="pt-PT"/>
        </w:rPr>
        <w:t>第</w:t>
      </w:r>
      <w:r w:rsidRPr="002D5974">
        <w:rPr>
          <w:rFonts w:eastAsia="標楷體" w:hAnsi="標楷體" w:hint="eastAsia"/>
          <w:sz w:val="28"/>
          <w:szCs w:val="28"/>
          <w:lang w:val="pt-PT"/>
        </w:rPr>
        <w:t>44</w:t>
      </w:r>
      <w:r w:rsidRPr="002D5974">
        <w:rPr>
          <w:rFonts w:eastAsia="標楷體" w:hAnsi="標楷體" w:hint="eastAsia"/>
          <w:sz w:val="28"/>
          <w:szCs w:val="28"/>
          <w:lang w:val="pt-PT"/>
        </w:rPr>
        <w:t>條規定）</w:t>
      </w:r>
      <w:r w:rsidRPr="002D5974">
        <w:rPr>
          <w:rFonts w:eastAsia="標楷體"/>
          <w:sz w:val="28"/>
          <w:szCs w:val="28"/>
        </w:rPr>
        <w:t>。</w:t>
      </w:r>
    </w:p>
    <w:p w:rsidR="0078302E" w:rsidRPr="002D5974" w:rsidRDefault="0078302E" w:rsidP="002B323B">
      <w:pPr>
        <w:spacing w:beforeLines="50" w:before="180" w:line="460" w:lineRule="exact"/>
        <w:ind w:firstLineChars="131" w:firstLine="367"/>
        <w:jc w:val="both"/>
        <w:rPr>
          <w:rFonts w:eastAsia="標楷體"/>
          <w:sz w:val="28"/>
          <w:szCs w:val="28"/>
        </w:rPr>
      </w:pPr>
      <w:r w:rsidRPr="002D5974">
        <w:rPr>
          <w:rFonts w:eastAsia="標楷體" w:hint="eastAsia"/>
          <w:sz w:val="28"/>
          <w:szCs w:val="28"/>
          <w:lang w:eastAsia="zh-HK"/>
        </w:rPr>
        <w:t>也參見</w:t>
      </w:r>
      <w:r w:rsidRPr="002D5974">
        <w:rPr>
          <w:rFonts w:ascii="新細明體" w:hAnsi="新細明體" w:hint="eastAsia"/>
          <w:sz w:val="28"/>
          <w:szCs w:val="28"/>
        </w:rPr>
        <w:t>《終審法院內部運作規章》。</w:t>
      </w:r>
    </w:p>
    <w:p w:rsidR="0078302E" w:rsidRDefault="008E488B" w:rsidP="002B323B">
      <w:pPr>
        <w:spacing w:beforeLines="50" w:before="180" w:line="460" w:lineRule="exact"/>
        <w:ind w:firstLineChars="131" w:firstLine="367"/>
        <w:jc w:val="both"/>
        <w:rPr>
          <w:sz w:val="28"/>
          <w:szCs w:val="28"/>
          <w:lang w:val="pt-PT"/>
        </w:rPr>
      </w:pPr>
      <w:r w:rsidRPr="002D5974">
        <w:rPr>
          <w:rFonts w:hint="eastAsia"/>
          <w:sz w:val="28"/>
          <w:szCs w:val="28"/>
          <w:lang w:val="pt-PT"/>
        </w:rPr>
        <w:t>檢察院的組織架構</w:t>
      </w:r>
    </w:p>
    <w:p w:rsidR="008E488B" w:rsidRPr="002D5974" w:rsidRDefault="008E488B" w:rsidP="002B323B">
      <w:pPr>
        <w:spacing w:beforeLines="50" w:before="180" w:line="460" w:lineRule="exact"/>
        <w:ind w:firstLine="367"/>
        <w:jc w:val="both"/>
        <w:rPr>
          <w:rFonts w:ascii="標楷體" w:eastAsia="標楷體" w:hAnsi="標楷體"/>
          <w:sz w:val="28"/>
          <w:szCs w:val="28"/>
          <w:lang w:val="pt-PT"/>
        </w:rPr>
      </w:pPr>
      <w:r w:rsidRPr="002D5974">
        <w:rPr>
          <w:rFonts w:ascii="標楷體" w:eastAsia="標楷體" w:hAnsi="標楷體" w:hint="eastAsia"/>
          <w:sz w:val="28"/>
          <w:szCs w:val="28"/>
          <w:lang w:val="pt-PT"/>
        </w:rPr>
        <w:t>現時，澳門檢察院所採用的是“一院建制、三級派任”的司法架構和運作模式。</w:t>
      </w:r>
    </w:p>
    <w:p w:rsidR="008E488B" w:rsidRPr="002D5974" w:rsidRDefault="008E488B" w:rsidP="002B323B">
      <w:pPr>
        <w:spacing w:beforeLines="50" w:before="180" w:line="460" w:lineRule="exact"/>
        <w:ind w:firstLine="367"/>
        <w:jc w:val="both"/>
        <w:rPr>
          <w:rFonts w:ascii="標楷體" w:eastAsia="標楷體" w:hAnsi="標楷體"/>
          <w:sz w:val="28"/>
          <w:szCs w:val="28"/>
          <w:lang w:val="pt-PT"/>
        </w:rPr>
      </w:pPr>
      <w:r w:rsidRPr="002D5974">
        <w:rPr>
          <w:rFonts w:ascii="標楷體" w:eastAsia="標楷體" w:hAnsi="標楷體" w:hint="eastAsia"/>
          <w:sz w:val="28"/>
          <w:szCs w:val="28"/>
          <w:lang w:val="pt-PT"/>
        </w:rPr>
        <w:t>“一院建制”指的是，在檢察院的機構設置上，不設立對應於三級法院的三級檢察院，而是採用了單一組織架構，即只設立一個檢察院的方式。</w:t>
      </w:r>
    </w:p>
    <w:p w:rsidR="008E488B" w:rsidRPr="002D5974" w:rsidRDefault="008E488B" w:rsidP="002B323B">
      <w:pPr>
        <w:spacing w:beforeLines="50" w:before="180" w:line="460" w:lineRule="exact"/>
        <w:ind w:firstLine="480"/>
        <w:jc w:val="both"/>
        <w:rPr>
          <w:rFonts w:ascii="標楷體" w:eastAsia="標楷體" w:hAnsi="標楷體"/>
          <w:sz w:val="28"/>
          <w:szCs w:val="28"/>
          <w:lang w:val="pt-PT"/>
        </w:rPr>
      </w:pPr>
      <w:r w:rsidRPr="002D5974">
        <w:rPr>
          <w:rFonts w:ascii="標楷體" w:eastAsia="標楷體" w:hAnsi="標楷體" w:hint="eastAsia"/>
          <w:sz w:val="28"/>
          <w:szCs w:val="28"/>
          <w:lang w:val="pt-PT"/>
        </w:rPr>
        <w:t>“三級派任”指的是，檢察官分為</w:t>
      </w:r>
      <w:r>
        <w:rPr>
          <w:rFonts w:ascii="標楷體" w:eastAsia="標楷體" w:hAnsi="標楷體" w:hint="eastAsia"/>
          <w:sz w:val="28"/>
          <w:szCs w:val="28"/>
          <w:lang w:val="pt-PT" w:eastAsia="zh-HK"/>
        </w:rPr>
        <w:t>三</w:t>
      </w:r>
      <w:r w:rsidRPr="002D5974">
        <w:rPr>
          <w:rFonts w:ascii="標楷體" w:eastAsia="標楷體" w:hAnsi="標楷體" w:hint="eastAsia"/>
          <w:sz w:val="28"/>
          <w:szCs w:val="28"/>
          <w:lang w:val="pt-PT"/>
        </w:rPr>
        <w:t>個級別並分別在澳門的三級法院內代表檢察院履行職責。具體方式是：在終審法院，由檢察長代表澳門特區檢察院，必要時可由助理檢察長協助檢察長的工作；在中級</w:t>
      </w:r>
      <w:r w:rsidRPr="002D5974">
        <w:rPr>
          <w:rFonts w:ascii="標楷體" w:eastAsia="標楷體" w:hAnsi="標楷體" w:hint="eastAsia"/>
          <w:sz w:val="28"/>
          <w:szCs w:val="28"/>
          <w:lang w:val="pt-PT"/>
        </w:rPr>
        <w:lastRenderedPageBreak/>
        <w:t>法院，由助理檢察長代表檢察院；在第一審法院，包括初級法院和行政法院，由助理檢察長</w:t>
      </w:r>
      <w:r w:rsidR="00A934C9">
        <w:rPr>
          <w:rFonts w:ascii="標楷體" w:eastAsia="標楷體" w:hAnsi="標楷體" w:hint="eastAsia"/>
          <w:sz w:val="28"/>
          <w:szCs w:val="28"/>
          <w:lang w:val="pt-PT" w:eastAsia="zh-HK"/>
        </w:rPr>
        <w:t>、主任檢察官及</w:t>
      </w:r>
      <w:r w:rsidRPr="002D5974">
        <w:rPr>
          <w:rFonts w:ascii="標楷體" w:eastAsia="標楷體" w:hAnsi="標楷體" w:hint="eastAsia"/>
          <w:sz w:val="28"/>
          <w:szCs w:val="28"/>
          <w:lang w:val="pt-PT"/>
        </w:rPr>
        <w:t>檢察官代表檢察院。</w:t>
      </w:r>
    </w:p>
    <w:p w:rsidR="008E488B" w:rsidRPr="002D5974" w:rsidRDefault="008E488B" w:rsidP="002B323B">
      <w:pPr>
        <w:spacing w:beforeLines="50" w:before="180" w:line="460" w:lineRule="exact"/>
        <w:ind w:firstLine="480"/>
        <w:jc w:val="both"/>
        <w:rPr>
          <w:rFonts w:ascii="標楷體" w:eastAsia="標楷體" w:hAnsi="標楷體"/>
          <w:sz w:val="28"/>
          <w:szCs w:val="28"/>
          <w:lang w:val="pt-PT"/>
        </w:rPr>
      </w:pPr>
      <w:r w:rsidRPr="002D5974">
        <w:rPr>
          <w:rFonts w:ascii="標楷體" w:eastAsia="標楷體" w:hAnsi="標楷體" w:hint="eastAsia"/>
          <w:sz w:val="28"/>
          <w:szCs w:val="28"/>
          <w:lang w:val="pt-PT"/>
        </w:rPr>
        <w:t>鑒於這樣的運作方式，澳門特區檢察院分別在終審法院、中級法院、初級法院、行政法院設立了辦事處。各辦事處由助理檢察長及檢察官領導日常工作，並配備一定人數的司法輔助人員予以協助。</w:t>
      </w:r>
    </w:p>
    <w:p w:rsidR="000A4A1B" w:rsidRDefault="008E488B" w:rsidP="002B323B">
      <w:pPr>
        <w:spacing w:beforeLines="50" w:before="180" w:line="460" w:lineRule="exact"/>
        <w:ind w:firstLineChars="131" w:firstLine="367"/>
        <w:jc w:val="both"/>
        <w:rPr>
          <w:rFonts w:eastAsia="標楷體" w:hAnsi="標楷體"/>
          <w:sz w:val="28"/>
          <w:szCs w:val="28"/>
        </w:rPr>
      </w:pPr>
      <w:r w:rsidRPr="002D5974">
        <w:rPr>
          <w:rFonts w:eastAsia="標楷體" w:hAnsi="標楷體"/>
          <w:sz w:val="28"/>
          <w:szCs w:val="28"/>
          <w:lang w:val="pt-PT"/>
        </w:rPr>
        <w:t>除</w:t>
      </w:r>
      <w:r w:rsidRPr="002D5974">
        <w:rPr>
          <w:rFonts w:eastAsia="標楷體" w:hAnsi="標楷體"/>
          <w:sz w:val="28"/>
          <w:szCs w:val="28"/>
        </w:rPr>
        <w:t>了上述辦事處外，檢察院還設立了獨立於法院運作的刑事訴訟辦事處，其主要任務爲對刑事案件的偵查進行領導和監督。在</w:t>
      </w:r>
      <w:r w:rsidR="000A4A1B">
        <w:rPr>
          <w:rFonts w:eastAsia="標楷體" w:hAnsi="標楷體" w:hint="eastAsia"/>
          <w:sz w:val="28"/>
          <w:szCs w:val="28"/>
          <w:lang w:eastAsia="zh-HK"/>
        </w:rPr>
        <w:t>該</w:t>
      </w:r>
      <w:r w:rsidRPr="002D5974">
        <w:rPr>
          <w:rFonts w:eastAsia="標楷體" w:hAnsi="標楷體"/>
          <w:sz w:val="28"/>
          <w:szCs w:val="28"/>
        </w:rPr>
        <w:t>辦事處內，由助理檢察長領導一批有刑事偵查經驗、熟悉訴訟程</w:t>
      </w:r>
      <w:r w:rsidRPr="002D5974">
        <w:rPr>
          <w:rFonts w:eastAsia="標楷體" w:hAnsi="標楷體" w:hint="eastAsia"/>
          <w:sz w:val="28"/>
          <w:szCs w:val="28"/>
        </w:rPr>
        <w:t>序</w:t>
      </w:r>
      <w:r w:rsidRPr="002D5974">
        <w:rPr>
          <w:rFonts w:eastAsia="標楷體" w:hAnsi="標楷體"/>
          <w:sz w:val="28"/>
          <w:szCs w:val="28"/>
        </w:rPr>
        <w:t>的</w:t>
      </w:r>
      <w:r w:rsidR="000A4A1B">
        <w:rPr>
          <w:rFonts w:eastAsia="標楷體" w:hAnsi="標楷體" w:hint="eastAsia"/>
          <w:sz w:val="28"/>
          <w:szCs w:val="28"/>
          <w:lang w:eastAsia="zh-HK"/>
        </w:rPr>
        <w:t>主任檢察官及</w:t>
      </w:r>
      <w:r w:rsidRPr="002D5974">
        <w:rPr>
          <w:rFonts w:eastAsia="標楷體" w:hAnsi="標楷體"/>
          <w:sz w:val="28"/>
          <w:szCs w:val="28"/>
        </w:rPr>
        <w:t>檢察官從事有關工作。</w:t>
      </w:r>
    </w:p>
    <w:p w:rsidR="008E488B" w:rsidRPr="002D5974" w:rsidRDefault="008E488B" w:rsidP="002B323B">
      <w:pPr>
        <w:spacing w:beforeLines="50" w:before="180" w:line="460" w:lineRule="exact"/>
        <w:ind w:firstLineChars="131" w:firstLine="367"/>
        <w:jc w:val="both"/>
        <w:rPr>
          <w:b/>
          <w:sz w:val="28"/>
          <w:szCs w:val="28"/>
          <w:lang w:val="pt-PT"/>
        </w:rPr>
      </w:pPr>
      <w:r w:rsidRPr="002D5974">
        <w:rPr>
          <w:rFonts w:eastAsia="標楷體" w:hAnsi="標楷體"/>
          <w:sz w:val="28"/>
          <w:szCs w:val="28"/>
        </w:rPr>
        <w:t>該辦事處的具體工作主要包括：接收刑事警察部門以及其他部門移送的刑事案件，以及所有有關刑事案件的檢舉和揭發信件；負責領導刑事警察部門對案件進行刑事偵查；採取拘留、扣押、搜查等強制措施；決定對案件提起公訴或決定歸檔（即不作起訴）。</w:t>
      </w:r>
    </w:p>
    <w:p w:rsidR="00F4363F" w:rsidRPr="000A4A1B" w:rsidRDefault="000A4A1B" w:rsidP="002B323B">
      <w:pPr>
        <w:pStyle w:val="ae"/>
        <w:numPr>
          <w:ilvl w:val="0"/>
          <w:numId w:val="14"/>
        </w:numPr>
        <w:tabs>
          <w:tab w:val="left" w:leader="dot" w:pos="7920"/>
        </w:tabs>
        <w:spacing w:beforeLines="50" w:before="180" w:line="460" w:lineRule="exact"/>
        <w:ind w:leftChars="0"/>
        <w:jc w:val="both"/>
        <w:rPr>
          <w:b/>
          <w:sz w:val="28"/>
          <w:szCs w:val="28"/>
        </w:rPr>
      </w:pPr>
      <w:r w:rsidRPr="002D5974">
        <w:rPr>
          <w:rFonts w:hint="eastAsia"/>
          <w:b/>
          <w:sz w:val="28"/>
          <w:szCs w:val="28"/>
          <w:lang w:val="pt-PT"/>
        </w:rPr>
        <w:t>法院審判的獨立性及對獨立性的保障</w:t>
      </w:r>
    </w:p>
    <w:p w:rsidR="002702F8" w:rsidRPr="002702F8" w:rsidRDefault="002702F8" w:rsidP="002B323B">
      <w:pPr>
        <w:pStyle w:val="ae"/>
        <w:tabs>
          <w:tab w:val="left" w:leader="dot" w:pos="7920"/>
        </w:tabs>
        <w:spacing w:beforeLines="50" w:before="180" w:line="460" w:lineRule="exact"/>
        <w:ind w:leftChars="0" w:left="0" w:firstLineChars="150" w:firstLine="420"/>
        <w:jc w:val="both"/>
        <w:rPr>
          <w:sz w:val="28"/>
          <w:szCs w:val="28"/>
          <w:lang w:val="pt-PT"/>
        </w:rPr>
      </w:pPr>
      <w:r w:rsidRPr="002D5974">
        <w:rPr>
          <w:rFonts w:hint="eastAsia"/>
          <w:sz w:val="28"/>
          <w:szCs w:val="28"/>
          <w:lang w:val="pt-PT"/>
        </w:rPr>
        <w:t>法官的不可調移性</w:t>
      </w:r>
      <w:r>
        <w:rPr>
          <w:rFonts w:hint="eastAsia"/>
          <w:sz w:val="28"/>
          <w:szCs w:val="28"/>
          <w:lang w:val="pt-PT"/>
        </w:rPr>
        <w:t>（</w:t>
      </w:r>
      <w:r w:rsidRPr="002D5974">
        <w:rPr>
          <w:rFonts w:eastAsia="標楷體" w:hAnsi="標楷體"/>
          <w:sz w:val="28"/>
          <w:szCs w:val="28"/>
          <w:lang w:val="pt-PT"/>
        </w:rPr>
        <w:t>第</w:t>
      </w:r>
      <w:r w:rsidRPr="002D5974">
        <w:rPr>
          <w:rFonts w:eastAsia="標楷體"/>
          <w:sz w:val="28"/>
          <w:szCs w:val="28"/>
          <w:lang w:val="pt-PT"/>
        </w:rPr>
        <w:t>10/1999</w:t>
      </w:r>
      <w:r w:rsidRPr="002D5974">
        <w:rPr>
          <w:rFonts w:eastAsia="標楷體" w:hAnsi="標楷體"/>
          <w:sz w:val="28"/>
          <w:szCs w:val="28"/>
          <w:lang w:val="pt-PT"/>
        </w:rPr>
        <w:t>號法律《司法官通則》第</w:t>
      </w:r>
      <w:r w:rsidRPr="002D5974">
        <w:rPr>
          <w:rFonts w:eastAsia="標楷體"/>
          <w:sz w:val="28"/>
          <w:szCs w:val="28"/>
          <w:lang w:val="pt-PT"/>
        </w:rPr>
        <w:t>5</w:t>
      </w:r>
      <w:r w:rsidRPr="002D5974">
        <w:rPr>
          <w:rFonts w:eastAsia="標楷體" w:hAnsi="標楷體"/>
          <w:sz w:val="28"/>
          <w:szCs w:val="28"/>
          <w:lang w:val="pt-PT"/>
        </w:rPr>
        <w:t>條規定</w:t>
      </w:r>
      <w:r>
        <w:rPr>
          <w:rFonts w:hint="eastAsia"/>
          <w:sz w:val="28"/>
          <w:szCs w:val="28"/>
          <w:lang w:val="pt-PT"/>
        </w:rPr>
        <w:t>）。</w:t>
      </w:r>
    </w:p>
    <w:p w:rsidR="002702F8" w:rsidRPr="002702F8" w:rsidRDefault="002702F8" w:rsidP="002B323B">
      <w:pPr>
        <w:tabs>
          <w:tab w:val="left" w:leader="dot" w:pos="7920"/>
        </w:tabs>
        <w:spacing w:beforeLines="50" w:before="180" w:line="460" w:lineRule="exact"/>
        <w:ind w:firstLineChars="150" w:firstLine="420"/>
        <w:jc w:val="both"/>
        <w:rPr>
          <w:sz w:val="28"/>
          <w:szCs w:val="28"/>
          <w:lang w:val="pt-PT"/>
        </w:rPr>
      </w:pPr>
      <w:r w:rsidRPr="002D5974">
        <w:rPr>
          <w:rFonts w:hint="eastAsia"/>
          <w:sz w:val="28"/>
          <w:szCs w:val="28"/>
          <w:lang w:val="pt-PT"/>
        </w:rPr>
        <w:t>法官毋須負責</w:t>
      </w:r>
      <w:r>
        <w:rPr>
          <w:rFonts w:hint="eastAsia"/>
          <w:sz w:val="28"/>
          <w:szCs w:val="28"/>
          <w:lang w:val="pt-PT"/>
        </w:rPr>
        <w:t>（</w:t>
      </w:r>
      <w:r w:rsidRPr="002D5974">
        <w:rPr>
          <w:rFonts w:eastAsia="標楷體" w:hAnsi="標楷體"/>
          <w:sz w:val="28"/>
          <w:szCs w:val="28"/>
          <w:lang w:val="pt-PT"/>
        </w:rPr>
        <w:t>第</w:t>
      </w:r>
      <w:r w:rsidRPr="002D5974">
        <w:rPr>
          <w:rFonts w:eastAsia="標楷體"/>
          <w:sz w:val="28"/>
          <w:szCs w:val="28"/>
          <w:lang w:val="pt-PT"/>
        </w:rPr>
        <w:t>10/1999</w:t>
      </w:r>
      <w:r w:rsidRPr="002D5974">
        <w:rPr>
          <w:rFonts w:eastAsia="標楷體" w:hAnsi="標楷體"/>
          <w:sz w:val="28"/>
          <w:szCs w:val="28"/>
          <w:lang w:val="pt-PT"/>
        </w:rPr>
        <w:t>號法律《司法官通則》第</w:t>
      </w:r>
      <w:r w:rsidRPr="002D5974">
        <w:rPr>
          <w:rFonts w:eastAsia="標楷體" w:hint="eastAsia"/>
          <w:sz w:val="28"/>
          <w:szCs w:val="28"/>
          <w:lang w:val="pt-PT"/>
        </w:rPr>
        <w:t>6</w:t>
      </w:r>
      <w:r w:rsidRPr="002D5974">
        <w:rPr>
          <w:rFonts w:eastAsia="標楷體" w:hAnsi="標楷體"/>
          <w:sz w:val="28"/>
          <w:szCs w:val="28"/>
          <w:lang w:val="pt-PT"/>
        </w:rPr>
        <w:t>條規定</w:t>
      </w:r>
      <w:r>
        <w:rPr>
          <w:rFonts w:hint="eastAsia"/>
          <w:sz w:val="28"/>
          <w:szCs w:val="28"/>
          <w:lang w:val="pt-PT"/>
        </w:rPr>
        <w:t>）。</w:t>
      </w:r>
    </w:p>
    <w:p w:rsidR="002702F8" w:rsidRPr="002D5974" w:rsidRDefault="002702F8" w:rsidP="002B323B">
      <w:pPr>
        <w:tabs>
          <w:tab w:val="left" w:leader="dot" w:pos="7920"/>
        </w:tabs>
        <w:spacing w:beforeLines="50" w:before="180" w:line="460" w:lineRule="exact"/>
        <w:ind w:firstLineChars="150" w:firstLine="420"/>
        <w:jc w:val="both"/>
        <w:rPr>
          <w:sz w:val="28"/>
          <w:szCs w:val="28"/>
          <w:lang w:val="pt-PT"/>
        </w:rPr>
      </w:pPr>
      <w:r w:rsidRPr="002D5974">
        <w:rPr>
          <w:rFonts w:hint="eastAsia"/>
          <w:sz w:val="28"/>
          <w:szCs w:val="28"/>
          <w:lang w:val="pt-PT"/>
        </w:rPr>
        <w:t>獨立的管理及紀律機關</w:t>
      </w:r>
      <w:r>
        <w:rPr>
          <w:rFonts w:hint="eastAsia"/>
          <w:sz w:val="28"/>
          <w:szCs w:val="28"/>
          <w:lang w:val="pt-PT"/>
        </w:rPr>
        <w:t>（</w:t>
      </w:r>
      <w:r>
        <w:rPr>
          <w:rFonts w:hint="eastAsia"/>
          <w:sz w:val="28"/>
          <w:szCs w:val="28"/>
          <w:lang w:val="pt-PT" w:eastAsia="zh-HK"/>
        </w:rPr>
        <w:t>由法官委員會負責</w:t>
      </w:r>
      <w:r>
        <w:rPr>
          <w:rFonts w:hint="eastAsia"/>
          <w:sz w:val="28"/>
          <w:szCs w:val="28"/>
          <w:lang w:val="pt-PT"/>
        </w:rPr>
        <w:t>）。</w:t>
      </w:r>
    </w:p>
    <w:p w:rsidR="002702F8" w:rsidRDefault="002702F8" w:rsidP="002B323B">
      <w:pPr>
        <w:pStyle w:val="ae"/>
        <w:tabs>
          <w:tab w:val="left" w:leader="dot" w:pos="7920"/>
        </w:tabs>
        <w:spacing w:beforeLines="50" w:before="180" w:line="460" w:lineRule="exact"/>
        <w:ind w:leftChars="0" w:left="0" w:firstLineChars="150" w:firstLine="420"/>
        <w:jc w:val="both"/>
        <w:rPr>
          <w:sz w:val="28"/>
          <w:szCs w:val="28"/>
          <w:lang w:val="pt-PT"/>
        </w:rPr>
      </w:pPr>
      <w:r w:rsidRPr="002D5974">
        <w:rPr>
          <w:rFonts w:hint="eastAsia"/>
          <w:sz w:val="28"/>
          <w:szCs w:val="28"/>
          <w:lang w:val="pt-PT"/>
        </w:rPr>
        <w:t>透過工作評核機制對司法文員</w:t>
      </w:r>
      <w:r w:rsidRPr="002D5974">
        <w:rPr>
          <w:rFonts w:ascii="新細明體" w:hAnsi="新細明體" w:hint="eastAsia"/>
          <w:sz w:val="28"/>
          <w:szCs w:val="28"/>
          <w:lang w:val="pt-PT"/>
        </w:rPr>
        <w:t>、</w:t>
      </w:r>
      <w:r w:rsidRPr="002D5974">
        <w:rPr>
          <w:rFonts w:hint="eastAsia"/>
          <w:sz w:val="28"/>
          <w:szCs w:val="28"/>
          <w:lang w:val="pt-PT"/>
        </w:rPr>
        <w:t>司法官進行考核，並了解法院的運作情況</w:t>
      </w:r>
      <w:r>
        <w:rPr>
          <w:rFonts w:hint="eastAsia"/>
          <w:sz w:val="28"/>
          <w:szCs w:val="28"/>
          <w:lang w:val="pt-PT"/>
        </w:rPr>
        <w:t>。</w:t>
      </w:r>
    </w:p>
    <w:p w:rsidR="002702F8" w:rsidRDefault="002702F8" w:rsidP="002B323B">
      <w:pPr>
        <w:pStyle w:val="ae"/>
        <w:tabs>
          <w:tab w:val="left" w:leader="dot" w:pos="7920"/>
        </w:tabs>
        <w:spacing w:beforeLines="50" w:before="180" w:line="460" w:lineRule="exact"/>
        <w:ind w:leftChars="0" w:left="0" w:firstLineChars="150" w:firstLine="420"/>
        <w:jc w:val="both"/>
        <w:rPr>
          <w:sz w:val="28"/>
          <w:szCs w:val="28"/>
          <w:lang w:val="pt-PT" w:eastAsia="zh-HK"/>
        </w:rPr>
      </w:pPr>
      <w:r>
        <w:rPr>
          <w:rFonts w:hint="eastAsia"/>
          <w:sz w:val="28"/>
          <w:szCs w:val="28"/>
          <w:lang w:val="pt-PT" w:eastAsia="zh-HK"/>
        </w:rPr>
        <w:t>而在檢察院，對於檢察院司法官及司法文員的紀律管理工作，則由檢察官委員會負責。</w:t>
      </w:r>
    </w:p>
    <w:p w:rsidR="002702F8" w:rsidRDefault="0079752E" w:rsidP="002B323B">
      <w:pPr>
        <w:pStyle w:val="ae"/>
        <w:tabs>
          <w:tab w:val="left" w:leader="dot" w:pos="7920"/>
        </w:tabs>
        <w:spacing w:beforeLines="50" w:before="180" w:line="460" w:lineRule="exact"/>
        <w:ind w:leftChars="0" w:left="0" w:firstLineChars="150" w:firstLine="420"/>
        <w:jc w:val="both"/>
        <w:rPr>
          <w:sz w:val="28"/>
          <w:szCs w:val="28"/>
          <w:lang w:val="pt-PT"/>
        </w:rPr>
      </w:pPr>
      <w:r w:rsidRPr="002D5974">
        <w:rPr>
          <w:rFonts w:hint="eastAsia"/>
          <w:sz w:val="28"/>
          <w:szCs w:val="28"/>
          <w:lang w:val="pt-PT"/>
        </w:rPr>
        <w:lastRenderedPageBreak/>
        <w:t>審檢分立原則</w:t>
      </w:r>
    </w:p>
    <w:p w:rsidR="0079752E" w:rsidRPr="002D5974" w:rsidRDefault="0079752E" w:rsidP="002B323B">
      <w:pPr>
        <w:tabs>
          <w:tab w:val="left" w:leader="dot" w:pos="7920"/>
        </w:tabs>
        <w:spacing w:beforeLines="50" w:before="180" w:line="460" w:lineRule="exact"/>
        <w:ind w:firstLineChars="150" w:firstLine="420"/>
        <w:jc w:val="both"/>
        <w:rPr>
          <w:rFonts w:eastAsia="標楷體" w:hAnsi="標楷體"/>
          <w:sz w:val="28"/>
          <w:szCs w:val="28"/>
        </w:rPr>
      </w:pPr>
      <w:r w:rsidRPr="002D5974">
        <w:rPr>
          <w:rFonts w:ascii="標楷體" w:eastAsia="標楷體" w:hAnsi="標楷體" w:hint="eastAsia"/>
          <w:sz w:val="28"/>
          <w:szCs w:val="28"/>
          <w:lang w:val="pt-PT"/>
        </w:rPr>
        <w:t>根據澳門</w:t>
      </w:r>
      <w:r w:rsidRPr="002D5974">
        <w:rPr>
          <w:rFonts w:eastAsia="標楷體" w:hAnsi="標楷體"/>
          <w:sz w:val="28"/>
          <w:szCs w:val="28"/>
        </w:rPr>
        <w:t>《</w:t>
      </w:r>
      <w:r w:rsidRPr="002D5974">
        <w:rPr>
          <w:rFonts w:eastAsia="標楷體" w:hAnsi="標楷體" w:hint="eastAsia"/>
          <w:sz w:val="28"/>
          <w:szCs w:val="28"/>
        </w:rPr>
        <w:t>刑</w:t>
      </w:r>
      <w:r w:rsidRPr="002D5974">
        <w:rPr>
          <w:rFonts w:eastAsia="標楷體" w:hAnsi="標楷體"/>
          <w:sz w:val="28"/>
          <w:szCs w:val="28"/>
        </w:rPr>
        <w:t>事訴訟法典》第</w:t>
      </w:r>
      <w:r w:rsidRPr="002D5974">
        <w:rPr>
          <w:rFonts w:eastAsia="標楷體" w:hint="eastAsia"/>
          <w:sz w:val="28"/>
          <w:szCs w:val="28"/>
        </w:rPr>
        <w:t>246</w:t>
      </w:r>
      <w:r w:rsidRPr="002D5974">
        <w:rPr>
          <w:rFonts w:eastAsia="標楷體" w:hAnsi="標楷體"/>
          <w:sz w:val="28"/>
          <w:szCs w:val="28"/>
        </w:rPr>
        <w:t>條</w:t>
      </w:r>
      <w:r w:rsidRPr="002D5974">
        <w:rPr>
          <w:rFonts w:eastAsia="標楷體" w:hAnsi="標楷體" w:hint="eastAsia"/>
          <w:sz w:val="28"/>
          <w:szCs w:val="28"/>
        </w:rPr>
        <w:t>的規定，偵查是由檢察院在刑事警察機關的輔助下領導進行。根據職權主義，凡檢察院獲知犯罪消息後，必須開立刑事訴訟卷宗以查究犯罪是否存在、識別行為人的身分和盡可能查明對量刑具重要性的情節及收集證據，以便在偵查結束時因應調查的結果決定提出控訴書或作歸檔批示。</w:t>
      </w:r>
    </w:p>
    <w:p w:rsidR="0079752E" w:rsidRPr="002D5974" w:rsidRDefault="0079752E" w:rsidP="002B323B">
      <w:pPr>
        <w:tabs>
          <w:tab w:val="left" w:leader="dot" w:pos="7920"/>
        </w:tabs>
        <w:spacing w:beforeLines="50" w:before="180" w:line="460" w:lineRule="exact"/>
        <w:ind w:firstLineChars="150" w:firstLine="420"/>
        <w:jc w:val="both"/>
        <w:rPr>
          <w:rFonts w:eastAsia="標楷體" w:hAnsi="標楷體"/>
          <w:sz w:val="28"/>
          <w:szCs w:val="28"/>
        </w:rPr>
      </w:pPr>
      <w:r w:rsidRPr="002D5974">
        <w:rPr>
          <w:rFonts w:eastAsia="標楷體" w:hAnsi="標楷體" w:hint="eastAsia"/>
          <w:sz w:val="28"/>
          <w:szCs w:val="28"/>
        </w:rPr>
        <w:t>檢察院提出的控訴除了是法院審判活動的前提外，亦是法院審判活動的限制。</w:t>
      </w:r>
    </w:p>
    <w:p w:rsidR="0079752E" w:rsidRPr="002D5974" w:rsidRDefault="0079752E" w:rsidP="002B323B">
      <w:pPr>
        <w:tabs>
          <w:tab w:val="left" w:leader="dot" w:pos="7920"/>
        </w:tabs>
        <w:spacing w:beforeLines="50" w:before="180" w:line="460" w:lineRule="exact"/>
        <w:ind w:firstLineChars="150" w:firstLine="420"/>
        <w:jc w:val="both"/>
        <w:rPr>
          <w:rFonts w:eastAsia="標楷體" w:hAnsi="標楷體"/>
          <w:sz w:val="28"/>
          <w:szCs w:val="28"/>
        </w:rPr>
      </w:pPr>
      <w:r w:rsidRPr="002D5974">
        <w:rPr>
          <w:rFonts w:eastAsia="標楷體" w:hAnsi="標楷體" w:hint="eastAsia"/>
          <w:sz w:val="28"/>
          <w:szCs w:val="28"/>
        </w:rPr>
        <w:t>儘管檢察院針對嫌犯提出控訴，並作成了有關的控訴書，但不表示法院有權針對該名嫌犯所實施的一切行為進行審判，而僅可就控訴書所列明的控罪事實進行審判。</w:t>
      </w:r>
    </w:p>
    <w:p w:rsidR="0079752E" w:rsidRDefault="0079752E" w:rsidP="002B323B">
      <w:pPr>
        <w:pStyle w:val="ae"/>
        <w:tabs>
          <w:tab w:val="left" w:leader="dot" w:pos="7920"/>
        </w:tabs>
        <w:spacing w:beforeLines="50" w:before="180" w:line="460" w:lineRule="exact"/>
        <w:ind w:leftChars="0" w:left="0" w:firstLineChars="150" w:firstLine="420"/>
        <w:jc w:val="both"/>
        <w:rPr>
          <w:rFonts w:eastAsia="標楷體" w:hAnsi="標楷體"/>
          <w:sz w:val="28"/>
          <w:szCs w:val="28"/>
        </w:rPr>
      </w:pPr>
      <w:r w:rsidRPr="002D5974">
        <w:rPr>
          <w:rFonts w:eastAsia="標楷體" w:hAnsi="標楷體" w:hint="eastAsia"/>
          <w:sz w:val="28"/>
          <w:szCs w:val="28"/>
        </w:rPr>
        <w:t>檢察院在啟動刑事訴訟程序和提出控訴後，法院方可介入審判，因此，檢察院提出的控訴是一切法院審判活動的前提。</w:t>
      </w:r>
    </w:p>
    <w:p w:rsidR="0079752E" w:rsidRPr="002702F8" w:rsidRDefault="0079752E" w:rsidP="002B323B">
      <w:pPr>
        <w:pStyle w:val="ae"/>
        <w:tabs>
          <w:tab w:val="left" w:leader="dot" w:pos="7920"/>
        </w:tabs>
        <w:spacing w:beforeLines="50" w:before="180" w:line="460" w:lineRule="exact"/>
        <w:ind w:leftChars="0" w:left="0" w:firstLineChars="150" w:firstLine="420"/>
        <w:jc w:val="both"/>
        <w:rPr>
          <w:b/>
          <w:sz w:val="28"/>
          <w:szCs w:val="28"/>
          <w:lang w:val="pt-PT"/>
        </w:rPr>
      </w:pPr>
    </w:p>
    <w:p w:rsidR="000A4A1B" w:rsidRPr="0035275D" w:rsidRDefault="0035275D"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BR"/>
        </w:rPr>
        <w:t>審判聽證的公開</w:t>
      </w:r>
    </w:p>
    <w:p w:rsidR="0035275D" w:rsidRPr="0035275D" w:rsidRDefault="0035275D" w:rsidP="002B323B">
      <w:pPr>
        <w:pStyle w:val="ae"/>
        <w:tabs>
          <w:tab w:val="left" w:leader="dot" w:pos="7920"/>
        </w:tabs>
        <w:spacing w:beforeLines="50" w:before="180" w:line="460" w:lineRule="exact"/>
        <w:ind w:leftChars="0" w:left="0" w:firstLineChars="150" w:firstLine="420"/>
        <w:jc w:val="both"/>
        <w:rPr>
          <w:rFonts w:eastAsia="標楷體"/>
          <w:sz w:val="28"/>
          <w:szCs w:val="28"/>
          <w:lang w:val="pt-BR"/>
        </w:rPr>
      </w:pPr>
      <w:r w:rsidRPr="0035275D">
        <w:rPr>
          <w:rFonts w:eastAsia="標楷體" w:hAnsi="標楷體"/>
          <w:sz w:val="28"/>
          <w:szCs w:val="28"/>
          <w:lang w:val="pt-BR"/>
        </w:rPr>
        <w:t>案件的審判聽證原則</w:t>
      </w:r>
      <w:r w:rsidRPr="0035275D">
        <w:rPr>
          <w:rFonts w:eastAsia="標楷體" w:hAnsi="標楷體" w:hint="eastAsia"/>
          <w:sz w:val="28"/>
          <w:szCs w:val="28"/>
          <w:lang w:val="pt-BR"/>
        </w:rPr>
        <w:t>上</w:t>
      </w:r>
      <w:r w:rsidRPr="0035275D">
        <w:rPr>
          <w:rFonts w:eastAsia="標楷體" w:hAnsi="標楷體"/>
          <w:sz w:val="28"/>
          <w:szCs w:val="28"/>
          <w:lang w:val="pt-BR"/>
        </w:rPr>
        <w:t>公開進行，但屬保密性質者除外（</w:t>
      </w:r>
      <w:r w:rsidRPr="0035275D">
        <w:rPr>
          <w:rFonts w:eastAsia="標楷體" w:hAnsi="標楷體"/>
          <w:sz w:val="28"/>
          <w:szCs w:val="28"/>
          <w:lang w:val="pt-PT"/>
        </w:rPr>
        <w:t>參見</w:t>
      </w:r>
      <w:r w:rsidRPr="0035275D">
        <w:rPr>
          <w:rFonts w:eastAsia="標楷體" w:hAnsi="標楷體"/>
          <w:sz w:val="28"/>
          <w:szCs w:val="28"/>
        </w:rPr>
        <w:t>《民事訴訟法典》第</w:t>
      </w:r>
      <w:r w:rsidRPr="0035275D">
        <w:rPr>
          <w:rFonts w:eastAsia="標楷體"/>
          <w:sz w:val="28"/>
          <w:szCs w:val="28"/>
        </w:rPr>
        <w:t>117</w:t>
      </w:r>
      <w:r w:rsidRPr="0035275D">
        <w:rPr>
          <w:rFonts w:eastAsia="標楷體" w:hAnsi="標楷體"/>
          <w:sz w:val="28"/>
          <w:szCs w:val="28"/>
        </w:rPr>
        <w:t>條及第</w:t>
      </w:r>
      <w:r w:rsidRPr="0035275D">
        <w:rPr>
          <w:rFonts w:eastAsia="標楷體"/>
          <w:sz w:val="28"/>
          <w:szCs w:val="28"/>
        </w:rPr>
        <w:t>118</w:t>
      </w:r>
      <w:r w:rsidRPr="0035275D">
        <w:rPr>
          <w:rFonts w:eastAsia="標楷體" w:hAnsi="標楷體"/>
          <w:sz w:val="28"/>
          <w:szCs w:val="28"/>
        </w:rPr>
        <w:t>條</w:t>
      </w:r>
      <w:r w:rsidRPr="0035275D">
        <w:rPr>
          <w:rFonts w:eastAsia="標楷體" w:hAnsi="標楷體"/>
          <w:sz w:val="28"/>
          <w:szCs w:val="28"/>
          <w:lang w:val="pt-BR"/>
        </w:rPr>
        <w:t>）</w:t>
      </w:r>
      <w:r>
        <w:rPr>
          <w:rFonts w:eastAsia="標楷體" w:hAnsi="標楷體"/>
          <w:sz w:val="28"/>
          <w:szCs w:val="28"/>
          <w:lang w:val="pt-BR"/>
        </w:rPr>
        <w:t>。</w:t>
      </w:r>
    </w:p>
    <w:p w:rsidR="0035275D" w:rsidRPr="0035275D" w:rsidRDefault="0035275D" w:rsidP="002B323B">
      <w:pPr>
        <w:spacing w:beforeLines="50" w:before="180" w:line="460" w:lineRule="exact"/>
        <w:ind w:firstLine="420"/>
        <w:jc w:val="both"/>
        <w:rPr>
          <w:rFonts w:eastAsia="標楷體" w:hAnsi="標楷體"/>
          <w:sz w:val="28"/>
          <w:szCs w:val="28"/>
        </w:rPr>
      </w:pPr>
      <w:r w:rsidRPr="0035275D">
        <w:rPr>
          <w:rFonts w:eastAsia="標楷體" w:hAnsi="標楷體"/>
          <w:sz w:val="28"/>
          <w:szCs w:val="28"/>
          <w:lang w:val="pt-BR"/>
        </w:rPr>
        <w:t>第</w:t>
      </w:r>
      <w:r w:rsidRPr="0035275D">
        <w:rPr>
          <w:rFonts w:eastAsia="標楷體"/>
          <w:sz w:val="28"/>
          <w:szCs w:val="28"/>
          <w:lang w:val="pt-BR"/>
        </w:rPr>
        <w:t>118</w:t>
      </w:r>
      <w:r w:rsidRPr="0035275D">
        <w:rPr>
          <w:rFonts w:eastAsia="標楷體" w:hAnsi="標楷體"/>
          <w:sz w:val="28"/>
          <w:szCs w:val="28"/>
          <w:lang w:val="pt-BR"/>
        </w:rPr>
        <w:t>條第</w:t>
      </w:r>
      <w:r w:rsidRPr="0035275D">
        <w:rPr>
          <w:rFonts w:eastAsia="標楷體"/>
          <w:sz w:val="28"/>
          <w:szCs w:val="28"/>
          <w:lang w:val="pt-BR"/>
        </w:rPr>
        <w:t>2</w:t>
      </w:r>
      <w:r w:rsidRPr="0035275D">
        <w:rPr>
          <w:rFonts w:eastAsia="標楷體" w:hAnsi="標楷體"/>
          <w:sz w:val="28"/>
          <w:szCs w:val="28"/>
          <w:lang w:val="pt-BR"/>
        </w:rPr>
        <w:t>款（限制公開訴訟的情況）：</w:t>
      </w:r>
      <w:r w:rsidRPr="0035275D">
        <w:rPr>
          <w:rFonts w:eastAsia="標楷體" w:hAnsi="標楷體"/>
          <w:sz w:val="28"/>
          <w:szCs w:val="28"/>
        </w:rPr>
        <w:t>ａ）撤銷婚姻、離婚及關於親子關係之確立或爭執之訴訟程序，對於此等訴訟程序，僅當事人及其訴訟代理人方得查閱卷宗；ｂ）待決之保全程序，對於此等程序，僅聲請人及其訴訟代理人方得查閱卷宗；如命令採取有關保全措施前應聽取聲請所針對之人及其訴訟代理人陳述，則聲請所針對之人</w:t>
      </w:r>
      <w:r w:rsidRPr="0035275D">
        <w:rPr>
          <w:rFonts w:eastAsia="標楷體" w:hAnsi="標楷體"/>
          <w:sz w:val="28"/>
          <w:szCs w:val="28"/>
        </w:rPr>
        <w:lastRenderedPageBreak/>
        <w:t>及其訴訟代理人亦得查閱卷宗。</w:t>
      </w:r>
    </w:p>
    <w:p w:rsidR="0035275D" w:rsidRPr="0035275D" w:rsidRDefault="0035275D" w:rsidP="002B323B">
      <w:pPr>
        <w:pStyle w:val="ae"/>
        <w:spacing w:beforeLines="50" w:before="180" w:line="460" w:lineRule="exact"/>
        <w:ind w:leftChars="0" w:left="0" w:firstLine="420"/>
        <w:jc w:val="both"/>
        <w:rPr>
          <w:rFonts w:eastAsia="標楷體" w:hAnsi="標楷體"/>
          <w:sz w:val="28"/>
          <w:szCs w:val="28"/>
        </w:rPr>
      </w:pPr>
      <w:r w:rsidRPr="0035275D">
        <w:rPr>
          <w:rFonts w:eastAsia="標楷體" w:hAnsi="標楷體"/>
          <w:sz w:val="28"/>
          <w:szCs w:val="28"/>
        </w:rPr>
        <w:t>《刑事訴訟法典》第</w:t>
      </w:r>
      <w:r w:rsidRPr="0035275D">
        <w:rPr>
          <w:rFonts w:eastAsia="標楷體"/>
          <w:sz w:val="28"/>
          <w:szCs w:val="28"/>
        </w:rPr>
        <w:t>76</w:t>
      </w:r>
      <w:r w:rsidRPr="0035275D">
        <w:rPr>
          <w:rFonts w:eastAsia="標楷體" w:hAnsi="標楷體"/>
          <w:sz w:val="28"/>
          <w:szCs w:val="28"/>
        </w:rPr>
        <w:t>條：刑事訴訟程序自作出起訴批示時起公開，或如無預審，則自作出指定聽證日之批示時起公開，否則刑事訴訟程序無效，而在此之前須遵守司法保密原則。</w:t>
      </w:r>
    </w:p>
    <w:p w:rsidR="0035275D" w:rsidRPr="0035275D" w:rsidRDefault="0035275D" w:rsidP="002B323B">
      <w:pPr>
        <w:spacing w:beforeLines="50" w:before="180" w:line="460" w:lineRule="exact"/>
        <w:ind w:firstLine="420"/>
        <w:jc w:val="both"/>
        <w:rPr>
          <w:rFonts w:eastAsia="標楷體"/>
          <w:sz w:val="28"/>
          <w:szCs w:val="28"/>
        </w:rPr>
      </w:pPr>
      <w:r w:rsidRPr="0035275D">
        <w:rPr>
          <w:rFonts w:eastAsia="標楷體" w:hAnsi="標楷體"/>
          <w:sz w:val="28"/>
          <w:szCs w:val="28"/>
        </w:rPr>
        <w:t>《刑事訴訟法典》第</w:t>
      </w:r>
      <w:r w:rsidRPr="0035275D">
        <w:rPr>
          <w:rFonts w:eastAsia="標楷體"/>
          <w:sz w:val="28"/>
          <w:szCs w:val="28"/>
        </w:rPr>
        <w:t>7</w:t>
      </w:r>
      <w:r w:rsidRPr="0035275D">
        <w:rPr>
          <w:rFonts w:eastAsia="標楷體" w:hint="eastAsia"/>
          <w:sz w:val="28"/>
          <w:szCs w:val="28"/>
        </w:rPr>
        <w:t>7</w:t>
      </w:r>
      <w:r w:rsidRPr="0035275D">
        <w:rPr>
          <w:rFonts w:eastAsia="標楷體" w:hAnsi="標楷體"/>
          <w:sz w:val="28"/>
          <w:szCs w:val="28"/>
        </w:rPr>
        <w:t>條：</w:t>
      </w:r>
      <w:r w:rsidRPr="0035275D">
        <w:rPr>
          <w:rFonts w:eastAsia="標楷體" w:hAnsi="標楷體" w:hint="eastAsia"/>
          <w:sz w:val="28"/>
          <w:szCs w:val="28"/>
        </w:rPr>
        <w:t xml:space="preserve">1) </w:t>
      </w:r>
      <w:r w:rsidRPr="0035275D">
        <w:rPr>
          <w:rFonts w:ascii="標楷體" w:eastAsia="標楷體" w:hAnsi="標楷體"/>
          <w:sz w:val="28"/>
          <w:szCs w:val="28"/>
        </w:rPr>
        <w:t>任何人均得旁聽法律表明須公開之訴訟行為，尤其是聽證。</w:t>
      </w:r>
      <w:r w:rsidRPr="0035275D">
        <w:rPr>
          <w:rFonts w:eastAsia="標楷體"/>
          <w:sz w:val="28"/>
          <w:szCs w:val="28"/>
        </w:rPr>
        <w:t xml:space="preserve">2) </w:t>
      </w:r>
      <w:r w:rsidRPr="0035275D">
        <w:rPr>
          <w:rFonts w:eastAsia="標楷體"/>
          <w:sz w:val="28"/>
          <w:szCs w:val="28"/>
        </w:rPr>
        <w:t>然而，法官依職權或應檢察院、嫌犯或輔助人之聲請，得以批示決定對公眾之自由旁聽作出限制，或決定有關訴訟行為或其中一部分不公開進行。</w:t>
      </w:r>
      <w:r w:rsidRPr="0035275D">
        <w:rPr>
          <w:rFonts w:eastAsia="標楷體"/>
          <w:sz w:val="28"/>
          <w:szCs w:val="28"/>
        </w:rPr>
        <w:t xml:space="preserve">3) </w:t>
      </w:r>
      <w:r w:rsidRPr="0035275D">
        <w:rPr>
          <w:rFonts w:eastAsia="標楷體"/>
          <w:sz w:val="28"/>
          <w:szCs w:val="28"/>
        </w:rPr>
        <w:t>上款所指之批示應以容許排除公開性之法律，或應以事實或具體情節作為依據，而該等事實或具體情節係使人推定公開訴訟行為將對人之尊嚴或公共道德，又或對該訴訟行為之正常進行造成嚴重損害；在引致作出批示之理由終止後應立即廢止該批示。</w:t>
      </w:r>
      <w:r w:rsidRPr="0035275D">
        <w:rPr>
          <w:rFonts w:eastAsia="標楷體"/>
          <w:sz w:val="28"/>
          <w:szCs w:val="28"/>
        </w:rPr>
        <w:t xml:space="preserve">4) </w:t>
      </w:r>
      <w:r w:rsidRPr="0035275D">
        <w:rPr>
          <w:rFonts w:eastAsia="標楷體"/>
          <w:sz w:val="28"/>
          <w:szCs w:val="28"/>
        </w:rPr>
        <w:t>如屬審理性犯罪之刑事訴訟程序，而被害人未滿十六歲，則訴訟行為一般不公開進行。</w:t>
      </w:r>
      <w:r w:rsidRPr="0035275D">
        <w:rPr>
          <w:rFonts w:eastAsia="標楷體"/>
          <w:sz w:val="28"/>
          <w:szCs w:val="28"/>
        </w:rPr>
        <w:t xml:space="preserve">5) </w:t>
      </w:r>
      <w:r w:rsidRPr="0035275D">
        <w:rPr>
          <w:rFonts w:eastAsia="標楷體"/>
          <w:sz w:val="28"/>
          <w:szCs w:val="28"/>
        </w:rPr>
        <w:t>在不公開之行為進行時，僅必須參與該行為之人，以及基於應予考慮之理由，尤其是職業或科學上之理由而經法官容許之其他人，方得旁聽。</w:t>
      </w:r>
      <w:r w:rsidRPr="0035275D">
        <w:rPr>
          <w:rFonts w:eastAsia="標楷體"/>
          <w:sz w:val="28"/>
          <w:szCs w:val="28"/>
        </w:rPr>
        <w:t xml:space="preserve">6) </w:t>
      </w:r>
      <w:r w:rsidRPr="0035275D">
        <w:rPr>
          <w:rFonts w:eastAsia="標楷體"/>
          <w:b/>
          <w:sz w:val="28"/>
          <w:szCs w:val="28"/>
          <w:u w:val="single"/>
        </w:rPr>
        <w:t>在任何情況下，均不得排除判決宣讀之公開性</w:t>
      </w:r>
      <w:r w:rsidRPr="0035275D">
        <w:rPr>
          <w:rFonts w:eastAsia="標楷體"/>
          <w:sz w:val="28"/>
          <w:szCs w:val="28"/>
        </w:rPr>
        <w:t>。</w:t>
      </w:r>
      <w:r w:rsidRPr="0035275D">
        <w:rPr>
          <w:rFonts w:eastAsia="標楷體"/>
          <w:sz w:val="28"/>
          <w:szCs w:val="28"/>
        </w:rPr>
        <w:t xml:space="preserve">7) </w:t>
      </w:r>
      <w:r w:rsidRPr="0035275D">
        <w:rPr>
          <w:rFonts w:eastAsia="標楷體"/>
          <w:sz w:val="28"/>
          <w:szCs w:val="28"/>
        </w:rPr>
        <w:t>為著以上各款之規定之效力，法官禁止未滿十八歲之人旁聽，或禁止作出行為影響有關訴訟行為之尊嚴或紀律之人旁聽，並不表示限制或排除行為之公開性。</w:t>
      </w:r>
    </w:p>
    <w:p w:rsidR="0035275D" w:rsidRPr="0035275D" w:rsidRDefault="0035275D" w:rsidP="002B323B">
      <w:pPr>
        <w:spacing w:beforeLines="50" w:before="180" w:line="460" w:lineRule="exact"/>
        <w:ind w:firstLine="420"/>
        <w:jc w:val="both"/>
        <w:rPr>
          <w:b/>
          <w:sz w:val="28"/>
          <w:szCs w:val="28"/>
          <w:lang w:val="pt-BR"/>
        </w:rPr>
      </w:pPr>
      <w:r w:rsidRPr="0035275D">
        <w:rPr>
          <w:rFonts w:eastAsia="標楷體" w:hAnsi="標楷體"/>
          <w:sz w:val="28"/>
          <w:szCs w:val="28"/>
        </w:rPr>
        <w:t>《刑事訴訟法典》第</w:t>
      </w:r>
      <w:r w:rsidRPr="0035275D">
        <w:rPr>
          <w:rFonts w:eastAsia="標楷體" w:hint="eastAsia"/>
          <w:sz w:val="28"/>
          <w:szCs w:val="28"/>
        </w:rPr>
        <w:t>302</w:t>
      </w:r>
      <w:r w:rsidRPr="0035275D">
        <w:rPr>
          <w:rFonts w:eastAsia="標楷體" w:hAnsi="標楷體"/>
          <w:sz w:val="28"/>
          <w:szCs w:val="28"/>
        </w:rPr>
        <w:t>條</w:t>
      </w:r>
      <w:r w:rsidRPr="0035275D">
        <w:rPr>
          <w:rFonts w:eastAsia="標楷體" w:hAnsi="標楷體" w:hint="eastAsia"/>
          <w:sz w:val="28"/>
          <w:szCs w:val="28"/>
        </w:rPr>
        <w:t>第</w:t>
      </w:r>
      <w:r w:rsidRPr="0035275D">
        <w:rPr>
          <w:rFonts w:eastAsia="標楷體" w:hAnsi="標楷體" w:hint="eastAsia"/>
          <w:sz w:val="28"/>
          <w:szCs w:val="28"/>
        </w:rPr>
        <w:t>1</w:t>
      </w:r>
      <w:r w:rsidRPr="0035275D">
        <w:rPr>
          <w:rFonts w:eastAsia="標楷體" w:hAnsi="標楷體" w:hint="eastAsia"/>
          <w:sz w:val="28"/>
          <w:szCs w:val="28"/>
        </w:rPr>
        <w:t>款</w:t>
      </w:r>
      <w:r w:rsidRPr="0035275D">
        <w:rPr>
          <w:rFonts w:eastAsia="標楷體" w:hAnsi="標楷體"/>
          <w:sz w:val="28"/>
          <w:szCs w:val="28"/>
        </w:rPr>
        <w:t>：審判聽證須公開，否則為不可補正之無效，但主持審判聽證之法官決定排除聽證之公開性或對聽證之公開作出限制者，不在此限。</w:t>
      </w:r>
    </w:p>
    <w:p w:rsidR="0035275D" w:rsidRPr="0035275D" w:rsidRDefault="0035275D" w:rsidP="002B323B">
      <w:pPr>
        <w:pStyle w:val="ae"/>
        <w:spacing w:beforeLines="50" w:before="180" w:line="460" w:lineRule="exact"/>
        <w:ind w:leftChars="0" w:left="0" w:firstLineChars="150" w:firstLine="420"/>
        <w:jc w:val="both"/>
        <w:rPr>
          <w:b/>
          <w:sz w:val="28"/>
          <w:szCs w:val="28"/>
        </w:rPr>
      </w:pPr>
    </w:p>
    <w:p w:rsidR="0035275D" w:rsidRPr="00671649" w:rsidRDefault="00EF0434"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BR"/>
        </w:rPr>
        <w:t>舉證責任</w:t>
      </w:r>
    </w:p>
    <w:p w:rsidR="00671649" w:rsidRPr="00671649" w:rsidRDefault="00671649" w:rsidP="002B323B">
      <w:pPr>
        <w:pStyle w:val="ae"/>
        <w:spacing w:beforeLines="50" w:before="180" w:line="460" w:lineRule="exact"/>
        <w:ind w:leftChars="0" w:left="420"/>
        <w:jc w:val="both"/>
        <w:rPr>
          <w:sz w:val="28"/>
          <w:szCs w:val="28"/>
          <w:lang w:val="pt-BR"/>
        </w:rPr>
      </w:pPr>
      <w:r w:rsidRPr="00671649">
        <w:rPr>
          <w:rFonts w:hint="eastAsia"/>
          <w:sz w:val="28"/>
          <w:szCs w:val="28"/>
          <w:lang w:val="pt-BR"/>
        </w:rPr>
        <w:lastRenderedPageBreak/>
        <w:t>民事案件：誰主張權利、誰舉證。</w:t>
      </w:r>
    </w:p>
    <w:p w:rsidR="00671649" w:rsidRDefault="00671649" w:rsidP="002B323B">
      <w:pPr>
        <w:pStyle w:val="ae"/>
        <w:spacing w:beforeLines="50" w:before="180" w:line="460" w:lineRule="exact"/>
        <w:ind w:leftChars="0" w:left="420"/>
        <w:jc w:val="both"/>
        <w:rPr>
          <w:b/>
          <w:sz w:val="28"/>
          <w:szCs w:val="28"/>
          <w:lang w:val="pt-BR"/>
        </w:rPr>
      </w:pPr>
      <w:r>
        <w:rPr>
          <w:rFonts w:hint="eastAsia"/>
          <w:sz w:val="28"/>
          <w:szCs w:val="28"/>
          <w:lang w:val="pt-BR"/>
        </w:rPr>
        <w:t>刑事案件：</w:t>
      </w:r>
      <w:r w:rsidRPr="002D5974">
        <w:rPr>
          <w:rFonts w:hint="eastAsia"/>
          <w:sz w:val="28"/>
          <w:szCs w:val="28"/>
          <w:lang w:val="pt-BR"/>
        </w:rPr>
        <w:t>由控方負責舉證</w:t>
      </w:r>
      <w:r>
        <w:rPr>
          <w:rFonts w:hint="eastAsia"/>
          <w:sz w:val="28"/>
          <w:szCs w:val="28"/>
          <w:lang w:val="pt-BR"/>
        </w:rPr>
        <w:t>（</w:t>
      </w:r>
      <w:r>
        <w:rPr>
          <w:rFonts w:hint="eastAsia"/>
          <w:sz w:val="28"/>
          <w:szCs w:val="28"/>
          <w:lang w:val="pt-BR" w:eastAsia="zh-HK"/>
        </w:rPr>
        <w:t>嫌犯為維護其權利也可提出反證</w:t>
      </w:r>
      <w:r>
        <w:rPr>
          <w:rFonts w:hint="eastAsia"/>
          <w:sz w:val="28"/>
          <w:szCs w:val="28"/>
          <w:lang w:val="pt-BR"/>
        </w:rPr>
        <w:t>）。</w:t>
      </w:r>
    </w:p>
    <w:p w:rsidR="00671649" w:rsidRPr="00671649" w:rsidRDefault="00671649" w:rsidP="002B323B">
      <w:pPr>
        <w:pStyle w:val="ae"/>
        <w:spacing w:beforeLines="50" w:before="180" w:line="460" w:lineRule="exact"/>
        <w:ind w:leftChars="0" w:left="420"/>
        <w:jc w:val="both"/>
        <w:rPr>
          <w:b/>
          <w:sz w:val="28"/>
          <w:szCs w:val="28"/>
        </w:rPr>
      </w:pPr>
    </w:p>
    <w:p w:rsidR="00671649" w:rsidRPr="00632C4C" w:rsidRDefault="00632C4C"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BR"/>
        </w:rPr>
        <w:t>民事索償</w:t>
      </w:r>
    </w:p>
    <w:p w:rsidR="00632C4C" w:rsidRPr="002D5974" w:rsidRDefault="00632C4C" w:rsidP="002B323B">
      <w:pPr>
        <w:spacing w:beforeLines="50" w:before="180" w:line="460" w:lineRule="exact"/>
        <w:ind w:firstLine="480"/>
        <w:jc w:val="both"/>
        <w:rPr>
          <w:sz w:val="28"/>
          <w:szCs w:val="28"/>
        </w:rPr>
      </w:pPr>
      <w:r w:rsidRPr="002D5974">
        <w:rPr>
          <w:rFonts w:hint="eastAsia"/>
          <w:sz w:val="28"/>
          <w:szCs w:val="28"/>
        </w:rPr>
        <w:t>民事案件的宣告之訴</w:t>
      </w:r>
      <w:r w:rsidR="00583374">
        <w:rPr>
          <w:rFonts w:hint="eastAsia"/>
          <w:sz w:val="28"/>
          <w:szCs w:val="28"/>
        </w:rPr>
        <w:t>（</w:t>
      </w:r>
      <w:r w:rsidR="00583374">
        <w:rPr>
          <w:rFonts w:hint="eastAsia"/>
          <w:sz w:val="28"/>
          <w:szCs w:val="28"/>
          <w:lang w:eastAsia="zh-HK"/>
        </w:rPr>
        <w:t>又或刑事附帶民事賠償請求</w:t>
      </w:r>
      <w:r w:rsidR="00583374">
        <w:rPr>
          <w:rFonts w:hint="eastAsia"/>
          <w:sz w:val="28"/>
          <w:szCs w:val="28"/>
        </w:rPr>
        <w:t>）</w:t>
      </w:r>
      <w:r w:rsidRPr="002D5974">
        <w:rPr>
          <w:rFonts w:hint="eastAsia"/>
          <w:sz w:val="28"/>
          <w:szCs w:val="28"/>
        </w:rPr>
        <w:t>，判處了被告向原告支付一特定的金額後，倘被告不支付，便提由原告以判決作為執行名義再提出執行案件。</w:t>
      </w:r>
    </w:p>
    <w:p w:rsidR="00632C4C" w:rsidRPr="002D5974" w:rsidRDefault="00632C4C" w:rsidP="002B323B">
      <w:pPr>
        <w:spacing w:beforeLines="50" w:before="180" w:line="460" w:lineRule="exact"/>
        <w:ind w:firstLine="480"/>
        <w:jc w:val="both"/>
        <w:rPr>
          <w:sz w:val="28"/>
          <w:szCs w:val="28"/>
          <w:lang w:val="pt-PT"/>
        </w:rPr>
      </w:pPr>
      <w:r w:rsidRPr="002D5974">
        <w:rPr>
          <w:rFonts w:hint="eastAsia"/>
          <w:sz w:val="28"/>
          <w:szCs w:val="28"/>
          <w:lang w:val="pt-PT"/>
        </w:rPr>
        <w:t>交通意外（獨立的民事賠償請求</w:t>
      </w:r>
      <w:r w:rsidRPr="002D5974">
        <w:rPr>
          <w:rFonts w:ascii="新細明體" w:hAnsi="新細明體" w:hint="eastAsia"/>
          <w:sz w:val="28"/>
          <w:szCs w:val="28"/>
          <w:lang w:val="pt-PT"/>
        </w:rPr>
        <w:t>、</w:t>
      </w:r>
      <w:r w:rsidRPr="002D5974">
        <w:rPr>
          <w:rFonts w:hint="eastAsia"/>
          <w:sz w:val="28"/>
          <w:szCs w:val="28"/>
          <w:lang w:val="pt-PT"/>
        </w:rPr>
        <w:t>正式民事賠償請求、依職權裁定的民事賠償請求）</w:t>
      </w:r>
      <w:r w:rsidR="00583374">
        <w:rPr>
          <w:rFonts w:hint="eastAsia"/>
          <w:sz w:val="28"/>
          <w:szCs w:val="28"/>
          <w:lang w:val="pt-PT"/>
        </w:rPr>
        <w:t>：</w:t>
      </w:r>
    </w:p>
    <w:p w:rsidR="00632C4C" w:rsidRPr="002D5974" w:rsidRDefault="00632C4C" w:rsidP="002B323B">
      <w:pPr>
        <w:spacing w:beforeLines="50" w:before="180" w:line="460" w:lineRule="exact"/>
        <w:jc w:val="both"/>
        <w:rPr>
          <w:rFonts w:eastAsia="標楷體"/>
          <w:sz w:val="28"/>
          <w:szCs w:val="28"/>
          <w:lang w:val="pt-PT"/>
        </w:rPr>
      </w:pPr>
      <w:r w:rsidRPr="002D5974">
        <w:rPr>
          <w:rFonts w:eastAsia="標楷體" w:hAnsi="標楷體" w:hint="eastAsia"/>
          <w:sz w:val="28"/>
          <w:szCs w:val="28"/>
          <w:lang w:val="pt-PT"/>
        </w:rPr>
        <w:tab/>
        <w:t xml:space="preserve">1) </w:t>
      </w:r>
      <w:r w:rsidRPr="002D5974">
        <w:rPr>
          <w:rFonts w:eastAsia="標楷體" w:hAnsi="標楷體" w:hint="eastAsia"/>
          <w:sz w:val="28"/>
          <w:szCs w:val="28"/>
          <w:lang w:val="pt-PT"/>
        </w:rPr>
        <w:t>提出民事賠償請求的起訴狀（一般會要求傳喚被告方，要求被告的保險公司提交相關的保險合同、提交證人名單、證據方法）</w:t>
      </w:r>
      <w:r w:rsidRPr="002D5974">
        <w:rPr>
          <w:rFonts w:eastAsia="標楷體" w:hAnsi="標楷體" w:hint="eastAsia"/>
          <w:sz w:val="28"/>
          <w:szCs w:val="28"/>
          <w:lang w:val="pt-PT"/>
        </w:rPr>
        <w:sym w:font="Wingdings" w:char="F0DC"/>
      </w:r>
      <w:r w:rsidRPr="002D5974">
        <w:rPr>
          <w:rFonts w:eastAsia="標楷體" w:hAnsi="標楷體" w:hint="eastAsia"/>
          <w:sz w:val="28"/>
          <w:szCs w:val="28"/>
          <w:lang w:val="pt-PT"/>
        </w:rPr>
        <w:t xml:space="preserve">2) </w:t>
      </w:r>
      <w:r w:rsidRPr="002D5974">
        <w:rPr>
          <w:rFonts w:eastAsia="標楷體" w:hAnsi="標楷體" w:hint="eastAsia"/>
          <w:sz w:val="28"/>
          <w:szCs w:val="28"/>
          <w:lang w:val="pt-PT"/>
        </w:rPr>
        <w:t>符合前提條件（在交通意外中，必須針對保險公司，否則不具正當性，見第</w:t>
      </w:r>
      <w:r w:rsidRPr="002D5974">
        <w:rPr>
          <w:rFonts w:eastAsia="標楷體" w:hAnsi="標楷體" w:hint="eastAsia"/>
          <w:sz w:val="28"/>
          <w:szCs w:val="28"/>
          <w:lang w:val="pt-PT"/>
        </w:rPr>
        <w:t>57/94/M</w:t>
      </w:r>
      <w:r w:rsidRPr="002D5974">
        <w:rPr>
          <w:rFonts w:eastAsia="標楷體" w:hAnsi="標楷體" w:hint="eastAsia"/>
          <w:sz w:val="28"/>
          <w:szCs w:val="28"/>
          <w:lang w:val="pt-PT"/>
        </w:rPr>
        <w:t>號法令第</w:t>
      </w:r>
      <w:r w:rsidRPr="002D5974">
        <w:rPr>
          <w:rFonts w:eastAsia="標楷體" w:hAnsi="標楷體" w:hint="eastAsia"/>
          <w:sz w:val="28"/>
          <w:szCs w:val="28"/>
          <w:lang w:val="pt-PT"/>
        </w:rPr>
        <w:t>45</w:t>
      </w:r>
      <w:r w:rsidRPr="002D5974">
        <w:rPr>
          <w:rFonts w:eastAsia="標楷體" w:hAnsi="標楷體" w:hint="eastAsia"/>
          <w:sz w:val="28"/>
          <w:szCs w:val="28"/>
          <w:lang w:val="pt-PT"/>
        </w:rPr>
        <w:t>條），作出傳喚批示</w:t>
      </w:r>
      <w:r w:rsidRPr="002D5974">
        <w:rPr>
          <w:rFonts w:eastAsia="標楷體" w:hAnsi="標楷體" w:hint="eastAsia"/>
          <w:sz w:val="28"/>
          <w:szCs w:val="28"/>
          <w:lang w:val="pt-PT"/>
        </w:rPr>
        <w:sym w:font="Wingdings" w:char="F0DC"/>
      </w:r>
      <w:r w:rsidRPr="002D5974">
        <w:rPr>
          <w:rFonts w:eastAsia="標楷體" w:hAnsi="標楷體" w:hint="eastAsia"/>
          <w:sz w:val="28"/>
          <w:szCs w:val="28"/>
          <w:lang w:val="pt-PT"/>
        </w:rPr>
        <w:t xml:space="preserve">3) </w:t>
      </w:r>
      <w:r w:rsidRPr="002D5974">
        <w:rPr>
          <w:rFonts w:eastAsia="標楷體" w:hAnsi="標楷體" w:hint="eastAsia"/>
          <w:sz w:val="28"/>
          <w:szCs w:val="28"/>
          <w:lang w:val="pt-PT"/>
        </w:rPr>
        <w:t>被告方提交答辯狀（通常會提交證據方法，例如證人）。</w:t>
      </w:r>
    </w:p>
    <w:p w:rsidR="00632C4C" w:rsidRPr="002D5974" w:rsidRDefault="00632C4C" w:rsidP="002B323B">
      <w:pPr>
        <w:spacing w:beforeLines="50" w:before="180" w:line="460" w:lineRule="exact"/>
        <w:jc w:val="both"/>
        <w:rPr>
          <w:rFonts w:eastAsia="標楷體" w:hAnsi="標楷體"/>
          <w:sz w:val="28"/>
          <w:szCs w:val="28"/>
          <w:lang w:val="pt-PT"/>
        </w:rPr>
      </w:pPr>
      <w:r w:rsidRPr="002D5974">
        <w:rPr>
          <w:rFonts w:hint="eastAsia"/>
          <w:sz w:val="28"/>
          <w:szCs w:val="28"/>
          <w:lang w:val="pt-PT"/>
        </w:rPr>
        <w:tab/>
      </w:r>
      <w:r w:rsidRPr="002D5974">
        <w:rPr>
          <w:rFonts w:ascii="標楷體" w:eastAsia="標楷體" w:hAnsi="標楷體" w:hint="eastAsia"/>
          <w:sz w:val="28"/>
          <w:szCs w:val="28"/>
          <w:lang w:val="pt-PT"/>
        </w:rPr>
        <w:t>一般在交通意外的刑事案件中，被害人可透過自行委託律師或透過司法援助指派律師，在刑事案件中提出附帶的民事</w:t>
      </w:r>
      <w:r w:rsidRPr="002D5974">
        <w:rPr>
          <w:rFonts w:eastAsia="標楷體" w:hAnsi="標楷體"/>
          <w:sz w:val="28"/>
          <w:szCs w:val="28"/>
          <w:lang w:val="pt-PT"/>
        </w:rPr>
        <w:t>賠償請求</w:t>
      </w:r>
      <w:r w:rsidRPr="002D5974">
        <w:rPr>
          <w:rFonts w:eastAsia="標楷體" w:hAnsi="標楷體" w:hint="eastAsia"/>
          <w:sz w:val="28"/>
          <w:szCs w:val="28"/>
          <w:lang w:val="pt-PT"/>
        </w:rPr>
        <w:t>。</w:t>
      </w:r>
    </w:p>
    <w:p w:rsidR="00632C4C" w:rsidRPr="002D5974" w:rsidRDefault="00632C4C" w:rsidP="002B323B">
      <w:pPr>
        <w:spacing w:beforeLines="50" w:before="180" w:line="460" w:lineRule="exact"/>
        <w:jc w:val="both"/>
        <w:rPr>
          <w:rFonts w:eastAsia="標楷體" w:hAnsi="標楷體"/>
          <w:sz w:val="28"/>
          <w:szCs w:val="28"/>
          <w:lang w:val="pt-PT"/>
        </w:rPr>
      </w:pPr>
      <w:r w:rsidRPr="002D5974">
        <w:rPr>
          <w:rFonts w:eastAsia="標楷體" w:hAnsi="標楷體" w:hint="eastAsia"/>
          <w:sz w:val="28"/>
          <w:szCs w:val="28"/>
          <w:lang w:val="pt-PT"/>
        </w:rPr>
        <w:tab/>
      </w:r>
      <w:r w:rsidRPr="002D5974">
        <w:rPr>
          <w:rFonts w:eastAsia="標楷體" w:hAnsi="標楷體" w:hint="eastAsia"/>
          <w:sz w:val="28"/>
          <w:szCs w:val="28"/>
          <w:lang w:val="pt-PT"/>
        </w:rPr>
        <w:t>注意事項：</w:t>
      </w:r>
    </w:p>
    <w:p w:rsidR="00632C4C" w:rsidRPr="002D5974" w:rsidRDefault="00632C4C" w:rsidP="002B323B">
      <w:pPr>
        <w:numPr>
          <w:ilvl w:val="0"/>
          <w:numId w:val="6"/>
        </w:numPr>
        <w:spacing w:beforeLines="50" w:before="180" w:line="460" w:lineRule="exact"/>
        <w:jc w:val="both"/>
        <w:rPr>
          <w:rFonts w:eastAsia="標楷體"/>
          <w:sz w:val="28"/>
          <w:szCs w:val="28"/>
          <w:lang w:val="pt-PT"/>
        </w:rPr>
      </w:pPr>
      <w:r w:rsidRPr="002D5974">
        <w:rPr>
          <w:rFonts w:eastAsia="標楷體"/>
          <w:sz w:val="28"/>
          <w:szCs w:val="28"/>
          <w:lang w:val="pt-PT"/>
        </w:rPr>
        <w:t>刑事附帶民事的請求，程序一般跟隨</w:t>
      </w:r>
      <w:r w:rsidRPr="002D5974">
        <w:rPr>
          <w:rFonts w:eastAsia="標楷體" w:hAnsi="標楷體"/>
          <w:sz w:val="28"/>
          <w:szCs w:val="28"/>
          <w:lang w:val="pt-PT"/>
        </w:rPr>
        <w:t>《刑事訴訟法典》的規定（見該法典第</w:t>
      </w:r>
      <w:r w:rsidRPr="002D5974">
        <w:rPr>
          <w:rFonts w:eastAsia="標楷體"/>
          <w:sz w:val="28"/>
          <w:szCs w:val="28"/>
          <w:lang w:val="pt-PT"/>
        </w:rPr>
        <w:t>67</w:t>
      </w:r>
      <w:r w:rsidRPr="002D5974">
        <w:rPr>
          <w:rFonts w:eastAsia="標楷體" w:hAnsi="標楷體"/>
          <w:sz w:val="28"/>
          <w:szCs w:val="28"/>
          <w:lang w:val="pt-PT"/>
        </w:rPr>
        <w:t>條及續後條文）；</w:t>
      </w:r>
    </w:p>
    <w:p w:rsidR="00632C4C" w:rsidRPr="002D5974" w:rsidRDefault="00632C4C" w:rsidP="002B323B">
      <w:pPr>
        <w:numPr>
          <w:ilvl w:val="0"/>
          <w:numId w:val="6"/>
        </w:numPr>
        <w:spacing w:beforeLines="50" w:before="180" w:line="460" w:lineRule="exact"/>
        <w:jc w:val="both"/>
        <w:rPr>
          <w:rFonts w:eastAsia="標楷體"/>
          <w:sz w:val="28"/>
          <w:szCs w:val="28"/>
          <w:lang w:val="pt-PT"/>
        </w:rPr>
      </w:pPr>
      <w:r w:rsidRPr="002D5974">
        <w:rPr>
          <w:rFonts w:eastAsia="標楷體" w:hAnsi="標楷體"/>
          <w:sz w:val="28"/>
          <w:szCs w:val="28"/>
          <w:lang w:val="pt-PT"/>
        </w:rPr>
        <w:t>《刑事訴訟法典》</w:t>
      </w:r>
      <w:r w:rsidRPr="002D5974">
        <w:rPr>
          <w:rFonts w:eastAsia="標楷體" w:hAnsi="標楷體" w:hint="eastAsia"/>
          <w:sz w:val="28"/>
          <w:szCs w:val="28"/>
          <w:lang w:val="pt-PT"/>
        </w:rPr>
        <w:t>第</w:t>
      </w:r>
      <w:r w:rsidRPr="002D5974">
        <w:rPr>
          <w:rFonts w:eastAsia="標楷體" w:hAnsi="標楷體" w:hint="eastAsia"/>
          <w:sz w:val="28"/>
          <w:szCs w:val="28"/>
          <w:lang w:val="pt-PT"/>
        </w:rPr>
        <w:t>68</w:t>
      </w:r>
      <w:r w:rsidRPr="002D5974">
        <w:rPr>
          <w:rFonts w:eastAsia="標楷體" w:hAnsi="標楷體" w:hint="eastAsia"/>
          <w:sz w:val="28"/>
          <w:szCs w:val="28"/>
          <w:lang w:val="pt-PT"/>
        </w:rPr>
        <w:t>條第</w:t>
      </w:r>
      <w:r w:rsidRPr="002D5974">
        <w:rPr>
          <w:rFonts w:eastAsia="標楷體" w:hAnsi="標楷體" w:hint="eastAsia"/>
          <w:sz w:val="28"/>
          <w:szCs w:val="28"/>
          <w:lang w:val="pt-PT"/>
        </w:rPr>
        <w:t>2</w:t>
      </w:r>
      <w:r w:rsidRPr="002D5974">
        <w:rPr>
          <w:rFonts w:eastAsia="標楷體" w:hAnsi="標楷體" w:hint="eastAsia"/>
          <w:sz w:val="28"/>
          <w:szCs w:val="28"/>
          <w:lang w:val="pt-PT"/>
        </w:rPr>
        <w:t>款規定，每一聲請人最多列</w:t>
      </w:r>
      <w:r w:rsidRPr="002D5974">
        <w:rPr>
          <w:rFonts w:eastAsia="標楷體" w:hAnsi="標楷體" w:hint="eastAsia"/>
          <w:sz w:val="28"/>
          <w:szCs w:val="28"/>
          <w:lang w:val="pt-PT"/>
        </w:rPr>
        <w:t>5</w:t>
      </w:r>
      <w:r w:rsidRPr="002D5974">
        <w:rPr>
          <w:rFonts w:eastAsia="標楷體" w:hAnsi="標楷體" w:hint="eastAsia"/>
          <w:sz w:val="28"/>
          <w:szCs w:val="28"/>
          <w:lang w:val="pt-PT"/>
        </w:rPr>
        <w:t>名證人，結合</w:t>
      </w:r>
      <w:r w:rsidRPr="002D5974">
        <w:rPr>
          <w:rFonts w:eastAsia="標楷體" w:hAnsi="標楷體"/>
          <w:sz w:val="28"/>
          <w:szCs w:val="28"/>
          <w:lang w:val="pt-PT"/>
        </w:rPr>
        <w:t>《</w:t>
      </w:r>
      <w:r w:rsidRPr="002D5974">
        <w:rPr>
          <w:rFonts w:eastAsia="標楷體" w:hAnsi="標楷體" w:hint="eastAsia"/>
          <w:sz w:val="28"/>
          <w:szCs w:val="28"/>
          <w:lang w:val="pt-PT"/>
        </w:rPr>
        <w:t>民</w:t>
      </w:r>
      <w:r w:rsidRPr="002D5974">
        <w:rPr>
          <w:rFonts w:eastAsia="標楷體" w:hAnsi="標楷體"/>
          <w:sz w:val="28"/>
          <w:szCs w:val="28"/>
          <w:lang w:val="pt-PT"/>
        </w:rPr>
        <w:t>事訴訟法典》</w:t>
      </w:r>
      <w:r w:rsidRPr="002D5974">
        <w:rPr>
          <w:rFonts w:eastAsia="標楷體" w:hAnsi="標楷體" w:hint="eastAsia"/>
          <w:sz w:val="28"/>
          <w:szCs w:val="28"/>
          <w:lang w:val="pt-PT"/>
        </w:rPr>
        <w:t>第</w:t>
      </w:r>
      <w:r w:rsidRPr="002D5974">
        <w:rPr>
          <w:rFonts w:eastAsia="標楷體" w:hAnsi="標楷體" w:hint="eastAsia"/>
          <w:sz w:val="28"/>
          <w:szCs w:val="28"/>
          <w:lang w:val="pt-PT"/>
        </w:rPr>
        <w:t>533</w:t>
      </w:r>
      <w:r w:rsidRPr="002D5974">
        <w:rPr>
          <w:rFonts w:eastAsia="標楷體" w:hAnsi="標楷體" w:hint="eastAsia"/>
          <w:sz w:val="28"/>
          <w:szCs w:val="28"/>
          <w:lang w:val="pt-PT"/>
        </w:rPr>
        <w:t>條第</w:t>
      </w:r>
      <w:r w:rsidRPr="002D5974">
        <w:rPr>
          <w:rFonts w:eastAsia="標楷體" w:hAnsi="標楷體" w:hint="eastAsia"/>
          <w:sz w:val="28"/>
          <w:szCs w:val="28"/>
          <w:lang w:val="pt-PT"/>
        </w:rPr>
        <w:t>3</w:t>
      </w:r>
      <w:r w:rsidRPr="002D5974">
        <w:rPr>
          <w:rFonts w:eastAsia="標楷體" w:hAnsi="標楷體" w:hint="eastAsia"/>
          <w:sz w:val="28"/>
          <w:szCs w:val="28"/>
          <w:lang w:val="pt-PT"/>
        </w:rPr>
        <w:t>款的規定，多出</w:t>
      </w:r>
      <w:r w:rsidRPr="002D5974">
        <w:rPr>
          <w:rFonts w:eastAsia="標楷體" w:hAnsi="標楷體" w:hint="eastAsia"/>
          <w:sz w:val="28"/>
          <w:szCs w:val="28"/>
          <w:lang w:val="pt-PT"/>
        </w:rPr>
        <w:lastRenderedPageBreak/>
        <w:t>者可視為未經載錄，因而不能獲得接納；</w:t>
      </w:r>
    </w:p>
    <w:p w:rsidR="00632C4C" w:rsidRDefault="00632C4C" w:rsidP="002B323B">
      <w:pPr>
        <w:numPr>
          <w:ilvl w:val="0"/>
          <w:numId w:val="6"/>
        </w:numPr>
        <w:spacing w:beforeLines="50" w:before="180" w:line="460" w:lineRule="exact"/>
        <w:jc w:val="both"/>
        <w:rPr>
          <w:rFonts w:eastAsia="標楷體"/>
          <w:sz w:val="28"/>
          <w:szCs w:val="28"/>
          <w:lang w:val="pt-PT"/>
        </w:rPr>
      </w:pPr>
      <w:r w:rsidRPr="002D5974">
        <w:rPr>
          <w:rFonts w:eastAsia="標楷體" w:hint="eastAsia"/>
          <w:sz w:val="28"/>
          <w:szCs w:val="28"/>
          <w:lang w:val="pt-PT"/>
        </w:rPr>
        <w:t>由於被害人通常被列為控訴書的證人，如其同時為民事當事人，便不能以證人的身份作證（</w:t>
      </w:r>
      <w:r w:rsidRPr="002D5974">
        <w:rPr>
          <w:rFonts w:eastAsia="標楷體" w:hAnsi="標楷體"/>
          <w:sz w:val="28"/>
          <w:szCs w:val="28"/>
          <w:lang w:val="pt-PT"/>
        </w:rPr>
        <w:t>《</w:t>
      </w:r>
      <w:r w:rsidRPr="002D5974">
        <w:rPr>
          <w:rFonts w:eastAsia="標楷體" w:hAnsi="標楷體" w:hint="eastAsia"/>
          <w:sz w:val="28"/>
          <w:szCs w:val="28"/>
          <w:lang w:val="pt-PT"/>
        </w:rPr>
        <w:t>民</w:t>
      </w:r>
      <w:r w:rsidRPr="002D5974">
        <w:rPr>
          <w:rFonts w:eastAsia="標楷體" w:hAnsi="標楷體"/>
          <w:sz w:val="28"/>
          <w:szCs w:val="28"/>
          <w:lang w:val="pt-PT"/>
        </w:rPr>
        <w:t>事訴訟法典》</w:t>
      </w:r>
      <w:r w:rsidRPr="002D5974">
        <w:rPr>
          <w:rFonts w:eastAsia="標楷體" w:hAnsi="標楷體" w:hint="eastAsia"/>
          <w:sz w:val="28"/>
          <w:szCs w:val="28"/>
          <w:lang w:val="pt-PT"/>
        </w:rPr>
        <w:t>第</w:t>
      </w:r>
      <w:r w:rsidRPr="002D5974">
        <w:rPr>
          <w:rFonts w:eastAsia="標楷體" w:hAnsi="標楷體" w:hint="eastAsia"/>
          <w:sz w:val="28"/>
          <w:szCs w:val="28"/>
          <w:lang w:val="pt-PT"/>
        </w:rPr>
        <w:t>518</w:t>
      </w:r>
      <w:r w:rsidRPr="002D5974">
        <w:rPr>
          <w:rFonts w:eastAsia="標楷體" w:hAnsi="標楷體" w:hint="eastAsia"/>
          <w:sz w:val="28"/>
          <w:szCs w:val="28"/>
          <w:lang w:val="pt-PT"/>
        </w:rPr>
        <w:t>條</w:t>
      </w:r>
      <w:r w:rsidRPr="002D5974">
        <w:rPr>
          <w:rFonts w:eastAsia="標楷體" w:hint="eastAsia"/>
          <w:sz w:val="28"/>
          <w:szCs w:val="28"/>
          <w:lang w:val="pt-PT"/>
        </w:rPr>
        <w:t>），亦不能陳述屬民事請求內容的事項（例如：用了多少醫療費、受到多大的精神影響等</w:t>
      </w:r>
      <w:r w:rsidRPr="002D5974">
        <w:rPr>
          <w:rFonts w:eastAsia="標楷體" w:hint="eastAsia"/>
          <w:sz w:val="28"/>
          <w:szCs w:val="28"/>
          <w:lang w:val="pt-PT"/>
        </w:rPr>
        <w:t>...</w:t>
      </w:r>
      <w:r w:rsidRPr="002D5974">
        <w:rPr>
          <w:rFonts w:eastAsia="標楷體" w:hint="eastAsia"/>
          <w:sz w:val="28"/>
          <w:szCs w:val="28"/>
          <w:lang w:val="pt-PT"/>
        </w:rPr>
        <w:t>）；</w:t>
      </w:r>
    </w:p>
    <w:p w:rsidR="008513ED" w:rsidRPr="002D5974" w:rsidRDefault="008513ED" w:rsidP="002B323B">
      <w:pPr>
        <w:numPr>
          <w:ilvl w:val="0"/>
          <w:numId w:val="6"/>
        </w:numPr>
        <w:spacing w:beforeLines="50" w:before="180" w:line="460" w:lineRule="exact"/>
        <w:jc w:val="both"/>
        <w:rPr>
          <w:rFonts w:eastAsia="標楷體"/>
          <w:sz w:val="28"/>
          <w:szCs w:val="28"/>
          <w:lang w:val="pt-PT"/>
        </w:rPr>
      </w:pPr>
      <w:r w:rsidRPr="002D5974">
        <w:rPr>
          <w:rFonts w:eastAsia="標楷體" w:hint="eastAsia"/>
          <w:sz w:val="28"/>
          <w:szCs w:val="28"/>
          <w:lang w:val="pt-PT"/>
        </w:rPr>
        <w:t>倘若引致交通意外的駕駛者沒有購買民事責任保險，則應告汽車保障基金。</w:t>
      </w:r>
    </w:p>
    <w:p w:rsidR="00632C4C" w:rsidRDefault="00373FFA" w:rsidP="002B323B">
      <w:pPr>
        <w:spacing w:beforeLines="50" w:before="180" w:line="460" w:lineRule="exact"/>
        <w:ind w:firstLineChars="150" w:firstLine="420"/>
        <w:jc w:val="both"/>
        <w:rPr>
          <w:b/>
          <w:sz w:val="28"/>
          <w:szCs w:val="28"/>
        </w:rPr>
      </w:pPr>
      <w:r w:rsidRPr="002D5974">
        <w:rPr>
          <w:rFonts w:eastAsia="標楷體" w:hAnsi="標楷體" w:hint="eastAsia"/>
          <w:sz w:val="28"/>
          <w:szCs w:val="28"/>
          <w:lang w:val="pt-PT"/>
        </w:rPr>
        <w:t>如沒有提出正式的民事賠償請求，被害人亦得透過</w:t>
      </w:r>
      <w:r w:rsidRPr="002D5974">
        <w:rPr>
          <w:rFonts w:ascii="標楷體" w:eastAsia="標楷體" w:hAnsi="標楷體" w:hint="eastAsia"/>
          <w:sz w:val="28"/>
          <w:szCs w:val="28"/>
          <w:lang w:val="pt-PT"/>
        </w:rPr>
        <w:t>《刑事</w:t>
      </w:r>
      <w:r w:rsidRPr="002D5974">
        <w:rPr>
          <w:rFonts w:eastAsia="標楷體" w:hAnsi="標楷體"/>
          <w:sz w:val="28"/>
          <w:szCs w:val="28"/>
          <w:lang w:val="pt-PT"/>
        </w:rPr>
        <w:t>訴訟法典》第</w:t>
      </w:r>
      <w:r w:rsidRPr="002D5974">
        <w:rPr>
          <w:rFonts w:eastAsia="標楷體"/>
          <w:sz w:val="28"/>
          <w:szCs w:val="28"/>
          <w:lang w:val="pt-PT"/>
        </w:rPr>
        <w:t>74</w:t>
      </w:r>
      <w:r w:rsidRPr="002D5974">
        <w:rPr>
          <w:rFonts w:eastAsia="標楷體" w:hAnsi="標楷體"/>
          <w:sz w:val="28"/>
          <w:szCs w:val="28"/>
          <w:lang w:val="pt-PT"/>
        </w:rPr>
        <w:t>條</w:t>
      </w:r>
      <w:r w:rsidRPr="002D5974">
        <w:rPr>
          <w:rFonts w:eastAsia="標楷體" w:hAnsi="標楷體" w:hint="eastAsia"/>
          <w:sz w:val="28"/>
          <w:szCs w:val="28"/>
          <w:lang w:val="pt-PT"/>
        </w:rPr>
        <w:t>所指的依職權裁定的賠償機制，獲得賠償</w:t>
      </w:r>
      <w:r>
        <w:rPr>
          <w:rFonts w:eastAsia="標楷體" w:hAnsi="標楷體" w:hint="eastAsia"/>
          <w:sz w:val="28"/>
          <w:szCs w:val="28"/>
          <w:lang w:val="pt-PT"/>
        </w:rPr>
        <w:t>；</w:t>
      </w:r>
      <w:r w:rsidRPr="002D5974">
        <w:rPr>
          <w:rFonts w:eastAsia="標楷體" w:hAnsi="標楷體" w:hint="eastAsia"/>
          <w:sz w:val="28"/>
          <w:szCs w:val="28"/>
          <w:lang w:val="pt-PT"/>
        </w:rPr>
        <w:t>然而，由於在此一情況中，被害人沒有民事當事人的身份，因此，無權就賠償事項提交證人或要求進行證據措施，僅能提交單據，及表達個人的賠償意願，法院</w:t>
      </w:r>
      <w:r w:rsidRPr="00373FFA">
        <w:rPr>
          <w:rFonts w:ascii="標楷體" w:eastAsia="標楷體" w:hAnsi="標楷體" w:cs="新細明體" w:hint="eastAsia"/>
          <w:sz w:val="28"/>
          <w:szCs w:val="28"/>
          <w:lang w:val="pt-PT" w:eastAsia="zh-HK"/>
        </w:rPr>
        <w:t>得按</w:t>
      </w:r>
      <w:r w:rsidRPr="002D5974">
        <w:rPr>
          <w:rFonts w:eastAsia="標楷體" w:hAnsi="標楷體" w:hint="eastAsia"/>
          <w:sz w:val="28"/>
          <w:szCs w:val="28"/>
          <w:lang w:val="pt-PT"/>
        </w:rPr>
        <w:t>衡平方式訂出賠償金額（應</w:t>
      </w:r>
      <w:r>
        <w:rPr>
          <w:rFonts w:eastAsia="標楷體" w:hAnsi="標楷體" w:hint="eastAsia"/>
          <w:sz w:val="28"/>
          <w:szCs w:val="28"/>
          <w:lang w:val="pt-PT" w:eastAsia="zh-HK"/>
        </w:rPr>
        <w:t>注意：如</w:t>
      </w:r>
      <w:r w:rsidRPr="002D5974">
        <w:rPr>
          <w:rFonts w:eastAsia="標楷體" w:hAnsi="標楷體" w:hint="eastAsia"/>
          <w:sz w:val="28"/>
          <w:szCs w:val="28"/>
          <w:lang w:val="pt-PT"/>
        </w:rPr>
        <w:t>將被害人作供的內容視為證據，會</w:t>
      </w:r>
      <w:r>
        <w:rPr>
          <w:rFonts w:eastAsia="標楷體" w:hAnsi="標楷體" w:hint="eastAsia"/>
          <w:sz w:val="28"/>
          <w:szCs w:val="28"/>
          <w:lang w:val="pt-PT" w:eastAsia="zh-HK"/>
        </w:rPr>
        <w:t>否</w:t>
      </w:r>
      <w:r w:rsidRPr="002D5974">
        <w:rPr>
          <w:rFonts w:eastAsia="標楷體" w:hAnsi="標楷體" w:hint="eastAsia"/>
          <w:sz w:val="28"/>
          <w:szCs w:val="28"/>
          <w:lang w:val="pt-PT"/>
        </w:rPr>
        <w:t>違反民事程序中當事人不得作為證人的原則）。倘若被害人反對以此方式裁定賠償，亦得自行透過民事途徑作出追討。</w:t>
      </w:r>
    </w:p>
    <w:p w:rsidR="00632C4C" w:rsidRDefault="00373FFA" w:rsidP="002B323B">
      <w:pPr>
        <w:spacing w:beforeLines="50" w:before="180" w:line="460" w:lineRule="exact"/>
        <w:ind w:firstLine="367"/>
        <w:jc w:val="both"/>
        <w:rPr>
          <w:rFonts w:eastAsia="標楷體"/>
          <w:sz w:val="28"/>
          <w:szCs w:val="28"/>
          <w:lang w:val="pt-PT"/>
        </w:rPr>
      </w:pPr>
      <w:r w:rsidRPr="002D5974">
        <w:rPr>
          <w:rFonts w:eastAsia="標楷體" w:hint="eastAsia"/>
          <w:sz w:val="28"/>
          <w:szCs w:val="28"/>
          <w:lang w:val="pt-PT"/>
        </w:rPr>
        <w:t>在刑事附帶民事賠償請求的案件中，</w:t>
      </w:r>
      <w:r w:rsidRPr="002D5974">
        <w:rPr>
          <w:rFonts w:eastAsia="標楷體"/>
          <w:sz w:val="28"/>
          <w:szCs w:val="28"/>
          <w:lang w:val="pt-PT"/>
        </w:rPr>
        <w:t>由於非屬正式的民事賠償請求，因此，法院只能針對嫌犯作出判處，嫌犯是否有足夠的經濟能力作出賠償，又或是否會依判決作出賠償，須取決於被害人是否針對嫌犯提出執行判決的請求</w:t>
      </w:r>
      <w:r w:rsidRPr="002D5974">
        <w:rPr>
          <w:rFonts w:eastAsia="標楷體" w:hint="eastAsia"/>
          <w:sz w:val="28"/>
          <w:szCs w:val="28"/>
          <w:lang w:val="pt-PT"/>
        </w:rPr>
        <w:t>（屬新的執行程序，以附文方式在判刑案件中進行），法院並沒有正當性依職權為被害人作出追討</w:t>
      </w:r>
      <w:r>
        <w:rPr>
          <w:rFonts w:eastAsia="標楷體" w:hint="eastAsia"/>
          <w:sz w:val="28"/>
          <w:szCs w:val="28"/>
          <w:lang w:val="pt-PT"/>
        </w:rPr>
        <w:t>。</w:t>
      </w:r>
    </w:p>
    <w:p w:rsidR="00373FFA" w:rsidRDefault="00373FFA" w:rsidP="002B323B">
      <w:pPr>
        <w:spacing w:beforeLines="50" w:before="180" w:line="460" w:lineRule="exact"/>
        <w:ind w:firstLine="367"/>
        <w:jc w:val="both"/>
        <w:rPr>
          <w:rFonts w:eastAsia="標楷體" w:hAnsi="標楷體"/>
          <w:sz w:val="28"/>
          <w:szCs w:val="28"/>
          <w:lang w:val="pt-PT"/>
        </w:rPr>
      </w:pPr>
      <w:r w:rsidRPr="002D5974">
        <w:rPr>
          <w:rFonts w:eastAsia="標楷體" w:hint="eastAsia"/>
          <w:sz w:val="28"/>
          <w:szCs w:val="28"/>
          <w:lang w:val="pt-PT"/>
        </w:rPr>
        <w:t>根據</w:t>
      </w:r>
      <w:r w:rsidRPr="002D5974">
        <w:rPr>
          <w:rFonts w:ascii="標楷體" w:eastAsia="標楷體" w:hAnsi="標楷體" w:hint="eastAsia"/>
          <w:sz w:val="28"/>
          <w:szCs w:val="28"/>
          <w:lang w:val="pt-PT"/>
        </w:rPr>
        <w:t>《刑事</w:t>
      </w:r>
      <w:r w:rsidRPr="002D5974">
        <w:rPr>
          <w:rFonts w:eastAsia="標楷體" w:hAnsi="標楷體"/>
          <w:sz w:val="28"/>
          <w:szCs w:val="28"/>
          <w:lang w:val="pt-PT"/>
        </w:rPr>
        <w:t>訴訟法典》第</w:t>
      </w:r>
      <w:r w:rsidRPr="002D5974">
        <w:rPr>
          <w:rFonts w:eastAsia="標楷體"/>
          <w:sz w:val="28"/>
          <w:szCs w:val="28"/>
          <w:lang w:val="pt-PT"/>
        </w:rPr>
        <w:t>74</w:t>
      </w:r>
      <w:r w:rsidRPr="002D5974">
        <w:rPr>
          <w:rFonts w:eastAsia="標楷體" w:hAnsi="標楷體"/>
          <w:sz w:val="28"/>
          <w:szCs w:val="28"/>
          <w:lang w:val="pt-PT"/>
        </w:rPr>
        <w:t>條</w:t>
      </w:r>
      <w:r w:rsidRPr="002D5974">
        <w:rPr>
          <w:rFonts w:eastAsia="標楷體" w:hAnsi="標楷體" w:hint="eastAsia"/>
          <w:sz w:val="28"/>
          <w:szCs w:val="28"/>
          <w:lang w:val="pt-PT"/>
        </w:rPr>
        <w:t>第</w:t>
      </w:r>
      <w:r w:rsidRPr="002D5974">
        <w:rPr>
          <w:rFonts w:eastAsia="標楷體" w:hAnsi="標楷體" w:hint="eastAsia"/>
          <w:sz w:val="28"/>
          <w:szCs w:val="28"/>
          <w:lang w:val="pt-PT"/>
        </w:rPr>
        <w:t>3</w:t>
      </w:r>
      <w:r w:rsidRPr="002D5974">
        <w:rPr>
          <w:rFonts w:eastAsia="標楷體" w:hAnsi="標楷體" w:hint="eastAsia"/>
          <w:sz w:val="28"/>
          <w:szCs w:val="28"/>
          <w:lang w:val="pt-PT"/>
        </w:rPr>
        <w:t>款結合第</w:t>
      </w:r>
      <w:r w:rsidRPr="002D5974">
        <w:rPr>
          <w:rFonts w:eastAsia="標楷體" w:hAnsi="標楷體" w:hint="eastAsia"/>
          <w:sz w:val="28"/>
          <w:szCs w:val="28"/>
          <w:lang w:val="pt-PT"/>
        </w:rPr>
        <w:t>73</w:t>
      </w:r>
      <w:r w:rsidRPr="002D5974">
        <w:rPr>
          <w:rFonts w:eastAsia="標楷體" w:hAnsi="標楷體" w:hint="eastAsia"/>
          <w:sz w:val="28"/>
          <w:szCs w:val="28"/>
          <w:lang w:val="pt-PT"/>
        </w:rPr>
        <w:t>條的規定，依職權裁定的民事賠償請求，具有已確定的判決效力，因此，倘若不服法院的判決，又不提起上訴，則不能再按同一訴因透過民事法院求償。</w:t>
      </w:r>
    </w:p>
    <w:p w:rsidR="00C42FB3" w:rsidRDefault="00C42FB3" w:rsidP="002B323B">
      <w:pPr>
        <w:spacing w:beforeLines="50" w:before="180" w:line="460" w:lineRule="exact"/>
        <w:ind w:firstLine="367"/>
        <w:jc w:val="both"/>
        <w:rPr>
          <w:rFonts w:eastAsia="標楷體" w:hAnsi="標楷體"/>
          <w:sz w:val="28"/>
          <w:szCs w:val="28"/>
          <w:lang w:val="pt-PT"/>
        </w:rPr>
      </w:pPr>
      <w:r>
        <w:rPr>
          <w:rFonts w:eastAsia="標楷體" w:hAnsi="標楷體" w:hint="eastAsia"/>
          <w:sz w:val="28"/>
          <w:szCs w:val="28"/>
          <w:lang w:val="pt-PT"/>
        </w:rPr>
        <w:t>值得關注的是，雖然刑事附帶民事賠償請求具有一定的優點</w:t>
      </w:r>
      <w:proofErr w:type="gramStart"/>
      <w:r>
        <w:rPr>
          <w:rFonts w:eastAsia="標楷體" w:hAnsi="標楷體" w:hint="eastAsia"/>
          <w:sz w:val="28"/>
          <w:szCs w:val="28"/>
          <w:lang w:val="pt-PT"/>
        </w:rPr>
        <w:t>（</w:t>
      </w:r>
      <w:proofErr w:type="gramEnd"/>
      <w:r>
        <w:rPr>
          <w:rFonts w:eastAsia="標楷體" w:hAnsi="標楷體" w:hint="eastAsia"/>
          <w:sz w:val="28"/>
          <w:szCs w:val="28"/>
          <w:lang w:val="pt-PT"/>
        </w:rPr>
        <w:t>例如：</w:t>
      </w:r>
      <w:r>
        <w:rPr>
          <w:rFonts w:eastAsia="標楷體" w:hAnsi="標楷體" w:hint="eastAsia"/>
          <w:sz w:val="28"/>
          <w:szCs w:val="28"/>
          <w:lang w:val="pt-PT"/>
        </w:rPr>
        <w:lastRenderedPageBreak/>
        <w:t>可以相對較快及簡單的流程滿足賠償</w:t>
      </w:r>
      <w:r w:rsidR="001A39D2">
        <w:rPr>
          <w:rFonts w:eastAsia="標楷體" w:hAnsi="標楷體" w:hint="eastAsia"/>
          <w:sz w:val="28"/>
          <w:szCs w:val="28"/>
          <w:lang w:val="pt-PT"/>
        </w:rPr>
        <w:t>請求的需要</w:t>
      </w:r>
      <w:proofErr w:type="gramStart"/>
      <w:r>
        <w:rPr>
          <w:rFonts w:eastAsia="標楷體" w:hAnsi="標楷體" w:hint="eastAsia"/>
          <w:sz w:val="28"/>
          <w:szCs w:val="28"/>
          <w:lang w:val="pt-PT"/>
        </w:rPr>
        <w:t>）</w:t>
      </w:r>
      <w:proofErr w:type="gramEnd"/>
      <w:r w:rsidR="001A39D2">
        <w:rPr>
          <w:rFonts w:eastAsia="標楷體" w:hAnsi="標楷體" w:hint="eastAsia"/>
          <w:sz w:val="28"/>
          <w:szCs w:val="28"/>
          <w:lang w:val="pt-PT"/>
        </w:rPr>
        <w:t>；</w:t>
      </w:r>
      <w:r>
        <w:rPr>
          <w:rFonts w:eastAsia="標楷體" w:hAnsi="標楷體" w:hint="eastAsia"/>
          <w:sz w:val="28"/>
          <w:szCs w:val="28"/>
          <w:lang w:val="pt-PT"/>
        </w:rPr>
        <w:t>但另一方面，它有一定的缺點，</w:t>
      </w:r>
      <w:r w:rsidR="001A39D2">
        <w:rPr>
          <w:rFonts w:eastAsia="標楷體" w:hAnsi="標楷體" w:hint="eastAsia"/>
          <w:sz w:val="28"/>
          <w:szCs w:val="28"/>
          <w:lang w:val="pt-PT"/>
        </w:rPr>
        <w:t>如</w:t>
      </w:r>
      <w:r>
        <w:rPr>
          <w:rFonts w:eastAsia="標楷體" w:hAnsi="標楷體" w:hint="eastAsia"/>
          <w:sz w:val="28"/>
          <w:szCs w:val="28"/>
          <w:lang w:val="pt-PT"/>
        </w:rPr>
        <w:t>當面對</w:t>
      </w:r>
      <w:r w:rsidR="001A39D2">
        <w:rPr>
          <w:rFonts w:eastAsia="標楷體" w:hAnsi="標楷體" w:hint="eastAsia"/>
          <w:sz w:val="28"/>
          <w:szCs w:val="28"/>
          <w:lang w:val="pt-PT"/>
        </w:rPr>
        <w:t>複雜的</w:t>
      </w:r>
      <w:r>
        <w:rPr>
          <w:rFonts w:eastAsia="標楷體" w:hAnsi="標楷體" w:hint="eastAsia"/>
          <w:sz w:val="28"/>
          <w:szCs w:val="28"/>
          <w:lang w:val="pt-PT"/>
        </w:rPr>
        <w:t>案情</w:t>
      </w:r>
      <w:r w:rsidR="001A39D2">
        <w:rPr>
          <w:rFonts w:eastAsia="標楷體" w:hAnsi="標楷體" w:hint="eastAsia"/>
          <w:sz w:val="28"/>
          <w:szCs w:val="28"/>
          <w:lang w:val="pt-PT"/>
        </w:rPr>
        <w:t>、</w:t>
      </w:r>
      <w:r>
        <w:rPr>
          <w:rFonts w:eastAsia="標楷體" w:hAnsi="標楷體" w:hint="eastAsia"/>
          <w:sz w:val="28"/>
          <w:szCs w:val="28"/>
          <w:lang w:val="pt-PT"/>
        </w:rPr>
        <w:t>需要透過大量的調查程序</w:t>
      </w:r>
      <w:r w:rsidR="001A39D2">
        <w:rPr>
          <w:rFonts w:eastAsia="標楷體" w:hAnsi="標楷體" w:hint="eastAsia"/>
          <w:sz w:val="28"/>
          <w:szCs w:val="28"/>
          <w:lang w:val="pt-PT"/>
        </w:rPr>
        <w:t>進行舉證</w:t>
      </w:r>
      <w:r>
        <w:rPr>
          <w:rFonts w:eastAsia="標楷體" w:hAnsi="標楷體" w:hint="eastAsia"/>
          <w:sz w:val="28"/>
          <w:szCs w:val="28"/>
          <w:lang w:val="pt-PT"/>
        </w:rPr>
        <w:t>、</w:t>
      </w:r>
      <w:r w:rsidR="001A39D2">
        <w:rPr>
          <w:rFonts w:eastAsia="標楷體" w:hAnsi="標楷體" w:hint="eastAsia"/>
          <w:sz w:val="28"/>
          <w:szCs w:val="28"/>
          <w:lang w:val="pt-PT"/>
        </w:rPr>
        <w:t>賠</w:t>
      </w:r>
      <w:r>
        <w:rPr>
          <w:rFonts w:eastAsia="標楷體" w:hAnsi="標楷體" w:hint="eastAsia"/>
          <w:sz w:val="28"/>
          <w:szCs w:val="28"/>
          <w:lang w:val="pt-PT"/>
        </w:rPr>
        <w:t>償責任人</w:t>
      </w:r>
      <w:r w:rsidR="00DC0D28">
        <w:rPr>
          <w:rFonts w:eastAsia="標楷體" w:hAnsi="標楷體" w:hint="eastAsia"/>
          <w:sz w:val="28"/>
          <w:szCs w:val="28"/>
          <w:lang w:val="pt-PT"/>
        </w:rPr>
        <w:t>涉及</w:t>
      </w:r>
      <w:r>
        <w:rPr>
          <w:rFonts w:eastAsia="標楷體" w:hAnsi="標楷體" w:hint="eastAsia"/>
          <w:sz w:val="28"/>
          <w:szCs w:val="28"/>
          <w:lang w:val="pt-PT"/>
        </w:rPr>
        <w:t>嫌犯</w:t>
      </w:r>
      <w:r w:rsidR="00DC0D28">
        <w:rPr>
          <w:rFonts w:eastAsia="標楷體" w:hAnsi="標楷體" w:hint="eastAsia"/>
          <w:sz w:val="28"/>
          <w:szCs w:val="28"/>
          <w:lang w:val="pt-PT"/>
        </w:rPr>
        <w:t>以外之人</w:t>
      </w:r>
      <w:r w:rsidR="001A39D2">
        <w:rPr>
          <w:rFonts w:eastAsia="標楷體" w:hAnsi="標楷體" w:hint="eastAsia"/>
          <w:sz w:val="28"/>
          <w:szCs w:val="28"/>
          <w:lang w:val="pt-PT"/>
        </w:rPr>
        <w:t>（甚至非本地居民）</w:t>
      </w:r>
      <w:r>
        <w:rPr>
          <w:rFonts w:eastAsia="標楷體" w:hAnsi="標楷體" w:hint="eastAsia"/>
          <w:sz w:val="28"/>
          <w:szCs w:val="28"/>
          <w:lang w:val="pt-PT"/>
        </w:rPr>
        <w:t>，那麼，面對著以刑事部分不被嚴重拖延的前提，</w:t>
      </w:r>
      <w:r w:rsidR="00DC0D28">
        <w:rPr>
          <w:rFonts w:eastAsia="標楷體" w:hAnsi="標楷體" w:hint="eastAsia"/>
          <w:sz w:val="28"/>
          <w:szCs w:val="28"/>
          <w:lang w:val="pt-PT"/>
        </w:rPr>
        <w:t>有關的</w:t>
      </w:r>
      <w:r w:rsidR="001A39D2">
        <w:rPr>
          <w:rFonts w:eastAsia="標楷體" w:hAnsi="標楷體" w:hint="eastAsia"/>
          <w:sz w:val="28"/>
          <w:szCs w:val="28"/>
          <w:lang w:val="pt-PT"/>
        </w:rPr>
        <w:t>調查</w:t>
      </w:r>
      <w:r w:rsidR="00DC0D28">
        <w:rPr>
          <w:rFonts w:eastAsia="標楷體" w:hAnsi="標楷體" w:hint="eastAsia"/>
          <w:sz w:val="28"/>
          <w:szCs w:val="28"/>
          <w:lang w:val="pt-PT"/>
        </w:rPr>
        <w:t>措施</w:t>
      </w:r>
      <w:r w:rsidR="001A39D2">
        <w:rPr>
          <w:rFonts w:eastAsia="標楷體" w:hAnsi="標楷體" w:hint="eastAsia"/>
          <w:sz w:val="28"/>
          <w:szCs w:val="28"/>
          <w:lang w:val="pt-PT"/>
        </w:rPr>
        <w:t>、傳喚措施</w:t>
      </w:r>
      <w:r w:rsidR="00DC0D28">
        <w:rPr>
          <w:rFonts w:eastAsia="標楷體" w:hAnsi="標楷體" w:hint="eastAsia"/>
          <w:sz w:val="28"/>
          <w:szCs w:val="28"/>
          <w:lang w:val="pt-PT"/>
        </w:rPr>
        <w:t>便有可能無法逐一被滿足，</w:t>
      </w:r>
      <w:r w:rsidR="00C45F6C">
        <w:rPr>
          <w:rFonts w:eastAsia="標楷體" w:hAnsi="標楷體" w:hint="eastAsia"/>
          <w:sz w:val="28"/>
          <w:szCs w:val="28"/>
          <w:lang w:val="pt-PT"/>
        </w:rPr>
        <w:t>又或</w:t>
      </w:r>
      <w:r w:rsidR="00DC0D28">
        <w:rPr>
          <w:rFonts w:eastAsia="標楷體" w:hAnsi="標楷體" w:hint="eastAsia"/>
          <w:sz w:val="28"/>
          <w:szCs w:val="28"/>
          <w:lang w:val="pt-PT"/>
        </w:rPr>
        <w:t>最終仍有可能面對民事請求被拆除出刑事案件的命運（</w:t>
      </w:r>
      <w:r w:rsidR="00DC0D28" w:rsidRPr="002D5974">
        <w:rPr>
          <w:rFonts w:ascii="標楷體" w:eastAsia="標楷體" w:hAnsi="標楷體" w:hint="eastAsia"/>
          <w:sz w:val="28"/>
          <w:szCs w:val="28"/>
          <w:lang w:val="pt-PT"/>
        </w:rPr>
        <w:t>《刑事</w:t>
      </w:r>
      <w:r w:rsidR="00DC0D28" w:rsidRPr="002D5974">
        <w:rPr>
          <w:rFonts w:eastAsia="標楷體" w:hAnsi="標楷體"/>
          <w:sz w:val="28"/>
          <w:szCs w:val="28"/>
          <w:lang w:val="pt-PT"/>
        </w:rPr>
        <w:t>訴訟法典》第</w:t>
      </w:r>
      <w:r w:rsidR="00DC0D28" w:rsidRPr="002D5974">
        <w:rPr>
          <w:rFonts w:eastAsia="標楷體"/>
          <w:sz w:val="28"/>
          <w:szCs w:val="28"/>
          <w:lang w:val="pt-PT"/>
        </w:rPr>
        <w:t>7</w:t>
      </w:r>
      <w:r w:rsidR="00DC0D28">
        <w:rPr>
          <w:rFonts w:eastAsia="標楷體" w:hint="eastAsia"/>
          <w:sz w:val="28"/>
          <w:szCs w:val="28"/>
          <w:lang w:val="pt-PT"/>
        </w:rPr>
        <w:t>1</w:t>
      </w:r>
      <w:r w:rsidR="00DC0D28" w:rsidRPr="002D5974">
        <w:rPr>
          <w:rFonts w:eastAsia="標楷體" w:hAnsi="標楷體"/>
          <w:sz w:val="28"/>
          <w:szCs w:val="28"/>
          <w:lang w:val="pt-PT"/>
        </w:rPr>
        <w:t>條</w:t>
      </w:r>
      <w:r w:rsidR="00DC0D28" w:rsidRPr="002D5974">
        <w:rPr>
          <w:rFonts w:eastAsia="標楷體" w:hAnsi="標楷體" w:hint="eastAsia"/>
          <w:sz w:val="28"/>
          <w:szCs w:val="28"/>
          <w:lang w:val="pt-PT"/>
        </w:rPr>
        <w:t>第</w:t>
      </w:r>
      <w:r w:rsidR="00DC0D28">
        <w:rPr>
          <w:rFonts w:eastAsia="標楷體" w:hAnsi="標楷體" w:hint="eastAsia"/>
          <w:sz w:val="28"/>
          <w:szCs w:val="28"/>
          <w:lang w:val="pt-PT"/>
        </w:rPr>
        <w:t>4</w:t>
      </w:r>
      <w:r w:rsidR="00DC0D28" w:rsidRPr="002D5974">
        <w:rPr>
          <w:rFonts w:eastAsia="標楷體" w:hAnsi="標楷體" w:hint="eastAsia"/>
          <w:sz w:val="28"/>
          <w:szCs w:val="28"/>
          <w:lang w:val="pt-PT"/>
        </w:rPr>
        <w:t>款</w:t>
      </w:r>
      <w:r w:rsidR="00DC0D28">
        <w:rPr>
          <w:rFonts w:eastAsia="標楷體" w:hAnsi="標楷體" w:hint="eastAsia"/>
          <w:sz w:val="28"/>
          <w:szCs w:val="28"/>
          <w:lang w:val="pt-PT"/>
        </w:rPr>
        <w:t>）。</w:t>
      </w:r>
    </w:p>
    <w:p w:rsidR="00712594" w:rsidRPr="00632C4C" w:rsidRDefault="00712594" w:rsidP="002B323B">
      <w:pPr>
        <w:spacing w:beforeLines="50" w:before="180" w:line="460" w:lineRule="exact"/>
        <w:ind w:firstLine="367"/>
        <w:jc w:val="both"/>
        <w:rPr>
          <w:b/>
          <w:sz w:val="28"/>
          <w:szCs w:val="28"/>
        </w:rPr>
      </w:pPr>
    </w:p>
    <w:p w:rsidR="00632C4C" w:rsidRPr="00712594" w:rsidRDefault="00712594"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BR"/>
        </w:rPr>
        <w:t>律師的援助</w:t>
      </w:r>
    </w:p>
    <w:p w:rsidR="00712594" w:rsidRPr="00712594" w:rsidRDefault="00712594" w:rsidP="002B323B">
      <w:pPr>
        <w:spacing w:beforeLines="50" w:before="180" w:line="460" w:lineRule="exact"/>
        <w:jc w:val="both"/>
        <w:rPr>
          <w:rFonts w:eastAsia="標楷體"/>
          <w:sz w:val="28"/>
          <w:szCs w:val="28"/>
          <w:lang w:val="pt-BR"/>
        </w:rPr>
      </w:pPr>
      <w:r>
        <w:rPr>
          <w:rFonts w:eastAsia="標楷體" w:hint="eastAsia"/>
          <w:sz w:val="28"/>
          <w:szCs w:val="28"/>
          <w:lang w:val="pt-BR"/>
        </w:rPr>
        <w:tab/>
      </w:r>
      <w:r w:rsidRPr="00712594">
        <w:rPr>
          <w:rFonts w:eastAsia="標楷體"/>
          <w:sz w:val="28"/>
          <w:szCs w:val="28"/>
          <w:lang w:val="pt-BR"/>
        </w:rPr>
        <w:t>司法援助的律師費，參見第</w:t>
      </w:r>
      <w:r w:rsidRPr="00712594">
        <w:rPr>
          <w:rFonts w:eastAsia="標楷體"/>
          <w:sz w:val="28"/>
          <w:szCs w:val="28"/>
          <w:lang w:val="pt-BR"/>
        </w:rPr>
        <w:t>59/2013</w:t>
      </w:r>
      <w:r w:rsidRPr="00712594">
        <w:rPr>
          <w:rFonts w:eastAsia="標楷體"/>
          <w:sz w:val="28"/>
          <w:szCs w:val="28"/>
          <w:lang w:val="pt-BR"/>
        </w:rPr>
        <w:t>號行政長官批示及第</w:t>
      </w:r>
      <w:r w:rsidRPr="00712594">
        <w:rPr>
          <w:rFonts w:eastAsia="標楷體"/>
          <w:sz w:val="28"/>
          <w:szCs w:val="28"/>
          <w:lang w:val="pt-BR"/>
        </w:rPr>
        <w:t>297/2013</w:t>
      </w:r>
      <w:r w:rsidRPr="00712594">
        <w:rPr>
          <w:rFonts w:eastAsia="標楷體"/>
          <w:sz w:val="28"/>
          <w:szCs w:val="28"/>
          <w:lang w:val="pt-BR"/>
        </w:rPr>
        <w:t>號行政長官批示。</w:t>
      </w:r>
    </w:p>
    <w:p w:rsidR="00712594" w:rsidRPr="00712594" w:rsidRDefault="00712594" w:rsidP="002B323B">
      <w:pPr>
        <w:spacing w:beforeLines="50" w:before="180" w:line="460" w:lineRule="exact"/>
        <w:jc w:val="both"/>
        <w:rPr>
          <w:rFonts w:eastAsia="標楷體"/>
          <w:sz w:val="28"/>
          <w:szCs w:val="28"/>
          <w:lang w:val="pt-BR"/>
        </w:rPr>
      </w:pPr>
      <w:r>
        <w:rPr>
          <w:rFonts w:eastAsia="標楷體" w:hint="eastAsia"/>
          <w:sz w:val="28"/>
          <w:szCs w:val="28"/>
          <w:lang w:val="pt-BR"/>
        </w:rPr>
        <w:tab/>
      </w:r>
      <w:r w:rsidRPr="00712594">
        <w:rPr>
          <w:rFonts w:eastAsia="標楷體"/>
          <w:sz w:val="28"/>
          <w:szCs w:val="28"/>
          <w:lang w:val="pt-BR"/>
        </w:rPr>
        <w:t>第</w:t>
      </w:r>
      <w:r w:rsidRPr="00712594">
        <w:rPr>
          <w:rFonts w:eastAsia="標楷體"/>
          <w:sz w:val="28"/>
          <w:szCs w:val="28"/>
          <w:lang w:val="pt-BR"/>
        </w:rPr>
        <w:t>13/2012</w:t>
      </w:r>
      <w:r w:rsidRPr="00712594">
        <w:rPr>
          <w:rFonts w:eastAsia="標楷體"/>
          <w:sz w:val="28"/>
          <w:szCs w:val="28"/>
          <w:lang w:val="pt-BR"/>
        </w:rPr>
        <w:t>號法律（《司法援助的一般制度》），第</w:t>
      </w:r>
      <w:r w:rsidRPr="00712594">
        <w:rPr>
          <w:rFonts w:eastAsia="標楷體"/>
          <w:sz w:val="28"/>
          <w:szCs w:val="28"/>
          <w:lang w:val="pt-BR"/>
        </w:rPr>
        <w:t>2</w:t>
      </w:r>
      <w:r w:rsidRPr="00712594">
        <w:rPr>
          <w:rFonts w:eastAsia="標楷體"/>
          <w:sz w:val="28"/>
          <w:szCs w:val="28"/>
          <w:lang w:val="pt-BR"/>
        </w:rPr>
        <w:t>條第</w:t>
      </w:r>
      <w:r w:rsidRPr="00712594">
        <w:rPr>
          <w:rFonts w:eastAsia="標楷體"/>
          <w:sz w:val="28"/>
          <w:szCs w:val="28"/>
          <w:lang w:val="pt-BR"/>
        </w:rPr>
        <w:t>1</w:t>
      </w:r>
      <w:r w:rsidRPr="00712594">
        <w:rPr>
          <w:rFonts w:eastAsia="標楷體"/>
          <w:sz w:val="28"/>
          <w:szCs w:val="28"/>
          <w:lang w:val="pt-BR"/>
        </w:rPr>
        <w:t>款第二項所指的</w:t>
      </w:r>
      <w:r w:rsidRPr="00712594">
        <w:rPr>
          <w:rFonts w:ascii="標楷體" w:eastAsia="標楷體" w:hAnsi="標楷體"/>
          <w:sz w:val="28"/>
          <w:szCs w:val="28"/>
          <w:lang w:val="pt-BR"/>
        </w:rPr>
        <w:t>“嫌犯委托律師”應同時包括“為嫌犯指派辯護人”</w:t>
      </w:r>
      <w:r w:rsidRPr="00712594">
        <w:rPr>
          <w:rFonts w:eastAsia="標楷體"/>
          <w:sz w:val="28"/>
          <w:szCs w:val="28"/>
          <w:lang w:val="pt-BR"/>
        </w:rPr>
        <w:t>的情況。</w:t>
      </w:r>
    </w:p>
    <w:p w:rsidR="00712594" w:rsidRPr="00712594" w:rsidRDefault="00712594" w:rsidP="002B323B">
      <w:pPr>
        <w:spacing w:beforeLines="50" w:before="180" w:line="460" w:lineRule="exact"/>
        <w:jc w:val="both"/>
        <w:rPr>
          <w:rFonts w:eastAsia="標楷體"/>
          <w:sz w:val="28"/>
          <w:szCs w:val="28"/>
          <w:lang w:val="pt-BR"/>
        </w:rPr>
      </w:pPr>
      <w:r w:rsidRPr="00712594">
        <w:rPr>
          <w:rFonts w:eastAsia="標楷體"/>
          <w:sz w:val="28"/>
          <w:szCs w:val="28"/>
          <w:lang w:val="pt-BR"/>
        </w:rPr>
        <w:t xml:space="preserve">   </w:t>
      </w:r>
      <w:r w:rsidRPr="00712594">
        <w:rPr>
          <w:rFonts w:eastAsia="標楷體"/>
          <w:sz w:val="28"/>
          <w:szCs w:val="28"/>
          <w:lang w:val="pt-BR"/>
        </w:rPr>
        <w:t>在刑事附帶民事賠償的案件中，提出民事請求的期限並不是第</w:t>
      </w:r>
      <w:r w:rsidRPr="00712594">
        <w:rPr>
          <w:rFonts w:eastAsia="標楷體"/>
          <w:sz w:val="28"/>
          <w:szCs w:val="28"/>
          <w:lang w:val="pt-BR"/>
        </w:rPr>
        <w:t>13/2012</w:t>
      </w:r>
      <w:r w:rsidRPr="00712594">
        <w:rPr>
          <w:rFonts w:eastAsia="標楷體"/>
          <w:sz w:val="28"/>
          <w:szCs w:val="28"/>
          <w:lang w:val="pt-BR"/>
        </w:rPr>
        <w:t>號法律第</w:t>
      </w:r>
      <w:r w:rsidRPr="00712594">
        <w:rPr>
          <w:rFonts w:eastAsia="標楷體"/>
          <w:sz w:val="28"/>
          <w:szCs w:val="28"/>
          <w:lang w:val="pt-BR"/>
        </w:rPr>
        <w:t>31</w:t>
      </w:r>
      <w:r w:rsidRPr="00712594">
        <w:rPr>
          <w:rFonts w:eastAsia="標楷體"/>
          <w:sz w:val="28"/>
          <w:szCs w:val="28"/>
          <w:lang w:val="pt-BR"/>
        </w:rPr>
        <w:t>條第</w:t>
      </w:r>
      <w:r w:rsidRPr="00712594">
        <w:rPr>
          <w:rFonts w:eastAsia="標楷體"/>
          <w:sz w:val="28"/>
          <w:szCs w:val="28"/>
          <w:lang w:val="pt-BR"/>
        </w:rPr>
        <w:t>1</w:t>
      </w:r>
      <w:r w:rsidRPr="00712594">
        <w:rPr>
          <w:rFonts w:eastAsia="標楷體"/>
          <w:sz w:val="28"/>
          <w:szCs w:val="28"/>
          <w:lang w:val="pt-BR"/>
        </w:rPr>
        <w:t>款所指的</w:t>
      </w:r>
      <w:r w:rsidRPr="00712594">
        <w:rPr>
          <w:rFonts w:eastAsia="標楷體"/>
          <w:sz w:val="28"/>
          <w:szCs w:val="28"/>
          <w:lang w:val="pt-BR"/>
        </w:rPr>
        <w:t>30</w:t>
      </w:r>
      <w:r w:rsidRPr="00712594">
        <w:rPr>
          <w:rFonts w:eastAsia="標楷體"/>
          <w:sz w:val="28"/>
          <w:szCs w:val="28"/>
          <w:lang w:val="pt-BR"/>
        </w:rPr>
        <w:t>日，而是應按《刑事訴訟法典》的特別規定（原為</w:t>
      </w:r>
      <w:r w:rsidRPr="00712594">
        <w:rPr>
          <w:rFonts w:eastAsia="標楷體"/>
          <w:sz w:val="28"/>
          <w:szCs w:val="28"/>
          <w:lang w:val="pt-BR"/>
        </w:rPr>
        <w:t>10</w:t>
      </w:r>
      <w:r w:rsidRPr="00712594">
        <w:rPr>
          <w:rFonts w:eastAsia="標楷體"/>
          <w:sz w:val="28"/>
          <w:szCs w:val="28"/>
          <w:lang w:val="pt-BR"/>
        </w:rPr>
        <w:t>日，經修改後的</w:t>
      </w:r>
      <w:r w:rsidRPr="00712594">
        <w:rPr>
          <w:rFonts w:eastAsia="標楷體"/>
          <w:sz w:val="28"/>
          <w:szCs w:val="28"/>
          <w:lang w:val="pt-BR"/>
        </w:rPr>
        <w:t>CPP</w:t>
      </w:r>
      <w:r w:rsidRPr="00712594">
        <w:rPr>
          <w:rFonts w:eastAsia="標楷體"/>
          <w:sz w:val="28"/>
          <w:szCs w:val="28"/>
          <w:lang w:val="pt-BR"/>
        </w:rPr>
        <w:t>延長為</w:t>
      </w:r>
      <w:r w:rsidRPr="00712594">
        <w:rPr>
          <w:rFonts w:eastAsia="標楷體"/>
          <w:sz w:val="28"/>
          <w:szCs w:val="28"/>
          <w:lang w:val="pt-BR"/>
        </w:rPr>
        <w:t>20</w:t>
      </w:r>
      <w:r w:rsidRPr="00712594">
        <w:rPr>
          <w:rFonts w:eastAsia="標楷體"/>
          <w:sz w:val="28"/>
          <w:szCs w:val="28"/>
          <w:lang w:val="pt-BR"/>
        </w:rPr>
        <w:t>日）。</w:t>
      </w:r>
    </w:p>
    <w:p w:rsidR="00712594" w:rsidRPr="004E33D0" w:rsidRDefault="00712594" w:rsidP="002B323B">
      <w:pPr>
        <w:spacing w:beforeLines="50" w:before="180" w:line="460" w:lineRule="exact"/>
        <w:ind w:firstLine="480"/>
        <w:jc w:val="both"/>
        <w:rPr>
          <w:b/>
          <w:sz w:val="28"/>
          <w:szCs w:val="28"/>
          <w:lang w:val="pt-BR"/>
        </w:rPr>
      </w:pPr>
      <w:r w:rsidRPr="004E33D0">
        <w:rPr>
          <w:rFonts w:eastAsia="標楷體"/>
          <w:sz w:val="28"/>
          <w:szCs w:val="28"/>
          <w:lang w:val="pt-BR"/>
        </w:rPr>
        <w:t>法律規定須強制由律師援助的情況</w:t>
      </w:r>
      <w:r w:rsidR="000C583E">
        <w:rPr>
          <w:rFonts w:eastAsia="標楷體"/>
          <w:sz w:val="28"/>
          <w:szCs w:val="28"/>
          <w:lang w:val="pt-BR"/>
        </w:rPr>
        <w:t>：</w:t>
      </w:r>
    </w:p>
    <w:p w:rsidR="00712594" w:rsidRDefault="000C583E" w:rsidP="002B323B">
      <w:pPr>
        <w:pStyle w:val="ae"/>
        <w:spacing w:beforeLines="50" w:before="180" w:line="460" w:lineRule="exact"/>
        <w:ind w:leftChars="0" w:left="0" w:firstLineChars="150" w:firstLine="420"/>
        <w:jc w:val="both"/>
        <w:rPr>
          <w:rFonts w:eastAsia="標楷體" w:hAnsi="標楷體"/>
          <w:sz w:val="28"/>
          <w:szCs w:val="28"/>
        </w:rPr>
      </w:pPr>
      <w:r w:rsidRPr="002D5974">
        <w:rPr>
          <w:rFonts w:eastAsia="標楷體" w:hAnsi="標楷體"/>
          <w:sz w:val="28"/>
          <w:szCs w:val="28"/>
        </w:rPr>
        <w:t>《民事訴訟法典》第</w:t>
      </w:r>
      <w:r w:rsidRPr="002D5974">
        <w:rPr>
          <w:rFonts w:eastAsia="標楷體"/>
          <w:sz w:val="28"/>
          <w:szCs w:val="28"/>
        </w:rPr>
        <w:t>74</w:t>
      </w:r>
      <w:r w:rsidRPr="002D5974">
        <w:rPr>
          <w:rFonts w:eastAsia="標楷體" w:hAnsi="標楷體"/>
          <w:sz w:val="28"/>
          <w:szCs w:val="28"/>
        </w:rPr>
        <w:t>條，一、在下列案件中，必須委託律師：ａ）可提起平常上訴之案件；ｂ）上訴案件及向上級法院提起訴訟之案件；ｃ）利益值高於中級法院法定上訴利益限額之執行程序；ｄ）利益值高於初級法院法定上訴利益限額之執行程序，只要有人提出異議或按宣告訴訟程序之步驟進行其他程序。二、即使屬必須委託律師</w:t>
      </w:r>
      <w:r w:rsidRPr="002D5974">
        <w:rPr>
          <w:rFonts w:eastAsia="標楷體" w:hAnsi="標楷體"/>
          <w:sz w:val="28"/>
          <w:szCs w:val="28"/>
        </w:rPr>
        <w:lastRenderedPageBreak/>
        <w:t>之情況，實習律師及當事人本人亦得提出不涉及法律問題之聲請。三、在財產清冊程序中，不論其性質或利益值為何，僅當為提出或辯論法律問題時，方須由律師參與。四、在非訟事件之程序中，並非必須委託律師，但上訴階段除外。五、在以附文方式進行之審定債權程序中，僅當被要求清償之某一債權之數額高於初級法院之法定上訴利益限額，且純粹為審定該債權時，方須由律師代理。</w:t>
      </w:r>
    </w:p>
    <w:p w:rsidR="000C583E" w:rsidRDefault="000C583E" w:rsidP="002B323B">
      <w:pPr>
        <w:pStyle w:val="ae"/>
        <w:spacing w:beforeLines="50" w:before="180" w:line="460" w:lineRule="exact"/>
        <w:ind w:leftChars="0" w:left="0" w:firstLineChars="150" w:firstLine="420"/>
        <w:jc w:val="both"/>
        <w:rPr>
          <w:rFonts w:eastAsia="標楷體" w:hAnsi="標楷體"/>
          <w:sz w:val="28"/>
          <w:szCs w:val="28"/>
        </w:rPr>
      </w:pPr>
      <w:r w:rsidRPr="002D5974">
        <w:rPr>
          <w:rFonts w:eastAsia="標楷體" w:hAnsi="標楷體"/>
          <w:sz w:val="28"/>
          <w:szCs w:val="28"/>
        </w:rPr>
        <w:t>《</w:t>
      </w:r>
      <w:r w:rsidRPr="002D5974">
        <w:rPr>
          <w:rFonts w:eastAsia="標楷體" w:hAnsi="標楷體" w:hint="eastAsia"/>
          <w:sz w:val="28"/>
          <w:szCs w:val="28"/>
        </w:rPr>
        <w:t>刑</w:t>
      </w:r>
      <w:r w:rsidRPr="002D5974">
        <w:rPr>
          <w:rFonts w:eastAsia="標楷體" w:hAnsi="標楷體"/>
          <w:sz w:val="28"/>
          <w:szCs w:val="28"/>
        </w:rPr>
        <w:t>事訴訟法典》第</w:t>
      </w:r>
      <w:r w:rsidRPr="002D5974">
        <w:rPr>
          <w:rFonts w:eastAsia="標楷體" w:hint="eastAsia"/>
          <w:sz w:val="28"/>
          <w:szCs w:val="28"/>
        </w:rPr>
        <w:t>53</w:t>
      </w:r>
      <w:r w:rsidRPr="002D5974">
        <w:rPr>
          <w:rFonts w:eastAsia="標楷體" w:hAnsi="標楷體"/>
          <w:sz w:val="28"/>
          <w:szCs w:val="28"/>
        </w:rPr>
        <w:t>條</w:t>
      </w:r>
      <w:r w:rsidRPr="002D5974">
        <w:rPr>
          <w:rFonts w:eastAsia="標楷體" w:hAnsi="標楷體" w:hint="eastAsia"/>
          <w:sz w:val="28"/>
          <w:szCs w:val="28"/>
        </w:rPr>
        <w:t>，刑事案件中律師援助的強制</w:t>
      </w:r>
      <w:r w:rsidRPr="002D5974">
        <w:rPr>
          <w:rFonts w:eastAsia="標楷體" w:hAnsi="標楷體"/>
          <w:sz w:val="28"/>
          <w:szCs w:val="28"/>
        </w:rPr>
        <w:t>性：</w:t>
      </w:r>
      <w:r w:rsidRPr="002D5974">
        <w:rPr>
          <w:rFonts w:eastAsia="標楷體"/>
          <w:sz w:val="28"/>
          <w:szCs w:val="28"/>
        </w:rPr>
        <w:t xml:space="preserve">a) </w:t>
      </w:r>
      <w:r w:rsidRPr="002D5974">
        <w:rPr>
          <w:rFonts w:eastAsia="標楷體" w:hAnsi="標楷體"/>
          <w:sz w:val="28"/>
          <w:szCs w:val="28"/>
        </w:rPr>
        <w:t>對被拘留之嫌犯進行首次司法訊問時；</w:t>
      </w:r>
      <w:r w:rsidRPr="002D5974">
        <w:rPr>
          <w:rFonts w:eastAsia="標楷體"/>
          <w:sz w:val="28"/>
          <w:szCs w:val="28"/>
        </w:rPr>
        <w:t xml:space="preserve">b) </w:t>
      </w:r>
      <w:r w:rsidRPr="002D5974">
        <w:rPr>
          <w:rFonts w:eastAsia="標楷體" w:hAnsi="標楷體"/>
          <w:sz w:val="28"/>
          <w:szCs w:val="28"/>
        </w:rPr>
        <w:t>在預審辯論及聽證時，但屬不可科處徒刑或收容保安處分之訴訟程序除外；</w:t>
      </w:r>
      <w:r w:rsidRPr="002D5974">
        <w:rPr>
          <w:rFonts w:eastAsia="標楷體"/>
          <w:sz w:val="28"/>
          <w:szCs w:val="28"/>
        </w:rPr>
        <w:t xml:space="preserve">c) </w:t>
      </w:r>
      <w:r w:rsidRPr="002D5974">
        <w:rPr>
          <w:rFonts w:eastAsia="標楷體" w:hAnsi="標楷體"/>
          <w:sz w:val="28"/>
          <w:szCs w:val="28"/>
        </w:rPr>
        <w:t>在缺席審判時；</w:t>
      </w:r>
      <w:r w:rsidRPr="002D5974">
        <w:rPr>
          <w:rFonts w:eastAsia="標楷體"/>
          <w:sz w:val="28"/>
          <w:szCs w:val="28"/>
        </w:rPr>
        <w:t xml:space="preserve">d) </w:t>
      </w:r>
      <w:r w:rsidRPr="002D5974">
        <w:rPr>
          <w:rFonts w:eastAsia="標楷體" w:hAnsi="標楷體"/>
          <w:sz w:val="28"/>
          <w:szCs w:val="28"/>
        </w:rPr>
        <w:t>在任何訴訟行為進行期間，只要嫌犯為聾、啞，或就嫌犯之不可歸責性或低弱之可歸責性提出問題；</w:t>
      </w:r>
      <w:r w:rsidRPr="002D5974">
        <w:rPr>
          <w:rFonts w:eastAsia="標楷體"/>
          <w:sz w:val="28"/>
          <w:szCs w:val="28"/>
        </w:rPr>
        <w:t xml:space="preserve">e) </w:t>
      </w:r>
      <w:r w:rsidRPr="002D5974">
        <w:rPr>
          <w:rFonts w:eastAsia="標楷體" w:hAnsi="標楷體"/>
          <w:sz w:val="28"/>
          <w:szCs w:val="28"/>
        </w:rPr>
        <w:t>在平常或非常上訴時；</w:t>
      </w:r>
      <w:r w:rsidRPr="002D5974">
        <w:rPr>
          <w:rFonts w:eastAsia="標楷體"/>
          <w:sz w:val="28"/>
          <w:szCs w:val="28"/>
        </w:rPr>
        <w:t xml:space="preserve">f) </w:t>
      </w:r>
      <w:r w:rsidRPr="002D5974">
        <w:rPr>
          <w:rFonts w:eastAsia="標楷體" w:hAnsi="標楷體"/>
          <w:sz w:val="28"/>
          <w:szCs w:val="28"/>
        </w:rPr>
        <w:t>第二百五十三條及第二百七十六條所指之情況；</w:t>
      </w:r>
      <w:r w:rsidRPr="002D5974">
        <w:rPr>
          <w:rFonts w:eastAsia="標楷體"/>
          <w:sz w:val="28"/>
          <w:szCs w:val="28"/>
        </w:rPr>
        <w:t xml:space="preserve">g) </w:t>
      </w:r>
      <w:r w:rsidRPr="002D5974">
        <w:rPr>
          <w:rFonts w:eastAsia="標楷體" w:hAnsi="標楷體"/>
          <w:sz w:val="28"/>
          <w:szCs w:val="28"/>
        </w:rPr>
        <w:t>法律規定之其他情況。</w:t>
      </w:r>
    </w:p>
    <w:p w:rsidR="000C583E" w:rsidRDefault="00FB15E3" w:rsidP="002B323B">
      <w:pPr>
        <w:pStyle w:val="ae"/>
        <w:spacing w:beforeLines="50" w:before="180" w:line="460" w:lineRule="exact"/>
        <w:ind w:leftChars="0" w:left="0" w:firstLineChars="150" w:firstLine="420"/>
        <w:jc w:val="both"/>
        <w:rPr>
          <w:b/>
          <w:sz w:val="28"/>
          <w:szCs w:val="28"/>
          <w:lang w:val="pt-BR"/>
        </w:rPr>
      </w:pPr>
      <w:r w:rsidRPr="002D5974">
        <w:rPr>
          <w:rFonts w:eastAsia="標楷體" w:hAnsi="標楷體" w:hint="eastAsia"/>
          <w:sz w:val="28"/>
          <w:szCs w:val="28"/>
        </w:rPr>
        <w:t>也參考第</w:t>
      </w:r>
      <w:r w:rsidRPr="002D5974">
        <w:rPr>
          <w:rFonts w:eastAsia="標楷體" w:hAnsi="標楷體" w:hint="eastAsia"/>
          <w:sz w:val="28"/>
          <w:szCs w:val="28"/>
        </w:rPr>
        <w:t>9/2013</w:t>
      </w:r>
      <w:r w:rsidRPr="002D5974">
        <w:rPr>
          <w:rFonts w:eastAsia="標楷體" w:hAnsi="標楷體" w:hint="eastAsia"/>
          <w:sz w:val="28"/>
          <w:szCs w:val="28"/>
        </w:rPr>
        <w:t>號法律對</w:t>
      </w:r>
      <w:r w:rsidRPr="002D5974">
        <w:rPr>
          <w:rFonts w:eastAsia="標楷體" w:hAnsi="標楷體"/>
          <w:sz w:val="28"/>
          <w:szCs w:val="28"/>
        </w:rPr>
        <w:t>《</w:t>
      </w:r>
      <w:r w:rsidRPr="002D5974">
        <w:rPr>
          <w:rFonts w:eastAsia="標楷體" w:hAnsi="標楷體" w:hint="eastAsia"/>
          <w:sz w:val="28"/>
          <w:szCs w:val="28"/>
        </w:rPr>
        <w:t>刑</w:t>
      </w:r>
      <w:r w:rsidRPr="002D5974">
        <w:rPr>
          <w:rFonts w:eastAsia="標楷體" w:hAnsi="標楷體"/>
          <w:sz w:val="28"/>
          <w:szCs w:val="28"/>
        </w:rPr>
        <w:t>事訴訟法典》</w:t>
      </w:r>
      <w:r w:rsidRPr="002D5974">
        <w:rPr>
          <w:rFonts w:eastAsia="標楷體" w:hAnsi="標楷體" w:hint="eastAsia"/>
          <w:sz w:val="28"/>
          <w:szCs w:val="28"/>
        </w:rPr>
        <w:t>的修改。</w:t>
      </w:r>
    </w:p>
    <w:p w:rsidR="00FB15E3" w:rsidRPr="004E33D0" w:rsidRDefault="00FB15E3" w:rsidP="002B323B">
      <w:pPr>
        <w:pStyle w:val="ae"/>
        <w:spacing w:beforeLines="50" w:before="180" w:line="460" w:lineRule="exact"/>
        <w:ind w:leftChars="0" w:left="0" w:firstLineChars="150" w:firstLine="420"/>
        <w:jc w:val="both"/>
        <w:rPr>
          <w:b/>
          <w:sz w:val="28"/>
          <w:szCs w:val="28"/>
          <w:lang w:val="pt-BR"/>
        </w:rPr>
      </w:pPr>
    </w:p>
    <w:p w:rsidR="00712594" w:rsidRPr="00FB15E3" w:rsidRDefault="00FB15E3"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PT"/>
        </w:rPr>
        <w:t>證人的權利及義務</w:t>
      </w:r>
    </w:p>
    <w:p w:rsidR="00FB15E3" w:rsidRDefault="00FB15E3" w:rsidP="002B323B">
      <w:pPr>
        <w:pStyle w:val="ae"/>
        <w:spacing w:beforeLines="50" w:before="180" w:line="460" w:lineRule="exact"/>
        <w:ind w:leftChars="0" w:left="0" w:firstLineChars="150" w:firstLine="420"/>
        <w:jc w:val="both"/>
        <w:rPr>
          <w:b/>
          <w:sz w:val="28"/>
          <w:szCs w:val="28"/>
          <w:lang w:val="pt-PT"/>
        </w:rPr>
      </w:pPr>
      <w:r w:rsidRPr="002D5974">
        <w:rPr>
          <w:rFonts w:hint="eastAsia"/>
          <w:sz w:val="28"/>
          <w:szCs w:val="28"/>
          <w:lang w:val="pt-PT"/>
        </w:rPr>
        <w:t>作為公民的義務</w:t>
      </w:r>
    </w:p>
    <w:p w:rsidR="00FB15E3" w:rsidRDefault="00FB15E3" w:rsidP="002B323B">
      <w:pPr>
        <w:pStyle w:val="ae"/>
        <w:spacing w:beforeLines="50" w:before="180" w:line="460" w:lineRule="exact"/>
        <w:ind w:leftChars="0" w:left="0" w:firstLineChars="150" w:firstLine="420"/>
        <w:jc w:val="both"/>
        <w:rPr>
          <w:rFonts w:eastAsia="標楷體" w:hAnsi="標楷體"/>
          <w:sz w:val="28"/>
          <w:szCs w:val="28"/>
          <w:lang w:val="pt-PT"/>
        </w:rPr>
      </w:pPr>
      <w:r w:rsidRPr="002D5974">
        <w:rPr>
          <w:rFonts w:eastAsia="標楷體" w:hAnsi="標楷體"/>
          <w:sz w:val="28"/>
          <w:szCs w:val="28"/>
          <w:lang w:val="pt-PT"/>
        </w:rPr>
        <w:t>拒絕作證等同拒絕宣誓，均可構成《刑法典》第</w:t>
      </w:r>
      <w:r w:rsidRPr="002D5974">
        <w:rPr>
          <w:rFonts w:eastAsia="標楷體"/>
          <w:sz w:val="28"/>
          <w:szCs w:val="28"/>
          <w:lang w:val="pt-PT"/>
        </w:rPr>
        <w:t>324</w:t>
      </w:r>
      <w:r w:rsidRPr="002D5974">
        <w:rPr>
          <w:rFonts w:eastAsia="標楷體" w:hAnsi="標楷體"/>
          <w:sz w:val="28"/>
          <w:szCs w:val="28"/>
          <w:lang w:val="pt-PT"/>
        </w:rPr>
        <w:t>條所指的犯罪（可處</w:t>
      </w:r>
      <w:r w:rsidRPr="002D5974">
        <w:rPr>
          <w:rFonts w:eastAsia="標楷體"/>
          <w:sz w:val="28"/>
          <w:szCs w:val="28"/>
          <w:lang w:val="pt-PT"/>
        </w:rPr>
        <w:t>6</w:t>
      </w:r>
      <w:r w:rsidRPr="002D5974">
        <w:rPr>
          <w:rFonts w:eastAsia="標楷體" w:hAnsi="標楷體"/>
          <w:sz w:val="28"/>
          <w:szCs w:val="28"/>
          <w:lang w:val="pt-PT"/>
        </w:rPr>
        <w:t>個月至</w:t>
      </w:r>
      <w:r w:rsidRPr="002D5974">
        <w:rPr>
          <w:rFonts w:eastAsia="標楷體"/>
          <w:sz w:val="28"/>
          <w:szCs w:val="28"/>
          <w:lang w:val="pt-PT"/>
        </w:rPr>
        <w:t>3</w:t>
      </w:r>
      <w:r w:rsidRPr="002D5974">
        <w:rPr>
          <w:rFonts w:eastAsia="標楷體" w:hAnsi="標楷體"/>
          <w:sz w:val="28"/>
          <w:szCs w:val="28"/>
          <w:lang w:val="pt-PT"/>
        </w:rPr>
        <w:t>年</w:t>
      </w:r>
      <w:r w:rsidRPr="002D5974">
        <w:rPr>
          <w:rFonts w:eastAsia="標楷體" w:hAnsi="標楷體" w:hint="eastAsia"/>
          <w:sz w:val="28"/>
          <w:szCs w:val="28"/>
          <w:lang w:val="pt-PT"/>
        </w:rPr>
        <w:t>的</w:t>
      </w:r>
      <w:r w:rsidRPr="002D5974">
        <w:rPr>
          <w:rFonts w:eastAsia="標楷體" w:hAnsi="標楷體"/>
          <w:sz w:val="28"/>
          <w:szCs w:val="28"/>
          <w:lang w:val="pt-PT"/>
        </w:rPr>
        <w:t>徒刑，或科不少於</w:t>
      </w:r>
      <w:r w:rsidRPr="002D5974">
        <w:rPr>
          <w:rFonts w:eastAsia="標楷體"/>
          <w:sz w:val="28"/>
          <w:szCs w:val="28"/>
          <w:lang w:val="pt-PT"/>
        </w:rPr>
        <w:t>60</w:t>
      </w:r>
      <w:r w:rsidRPr="002D5974">
        <w:rPr>
          <w:rFonts w:eastAsia="標楷體" w:hAnsi="標楷體"/>
          <w:sz w:val="28"/>
          <w:szCs w:val="28"/>
          <w:lang w:val="pt-PT"/>
        </w:rPr>
        <w:t>日的罰金）。</w:t>
      </w:r>
    </w:p>
    <w:p w:rsidR="00FB15E3" w:rsidRDefault="00FB15E3" w:rsidP="002B323B">
      <w:pPr>
        <w:pStyle w:val="ae"/>
        <w:spacing w:beforeLines="50" w:before="180" w:line="460" w:lineRule="exact"/>
        <w:ind w:leftChars="0" w:left="0" w:firstLineChars="150" w:firstLine="420"/>
        <w:jc w:val="both"/>
        <w:rPr>
          <w:b/>
          <w:sz w:val="28"/>
          <w:szCs w:val="28"/>
        </w:rPr>
      </w:pPr>
      <w:r w:rsidRPr="002D5974">
        <w:rPr>
          <w:rFonts w:hint="eastAsia"/>
          <w:sz w:val="28"/>
          <w:szCs w:val="28"/>
          <w:lang w:val="pt-PT"/>
        </w:rPr>
        <w:t>配合司法機關</w:t>
      </w:r>
      <w:r>
        <w:rPr>
          <w:rFonts w:hint="eastAsia"/>
          <w:sz w:val="28"/>
          <w:szCs w:val="28"/>
          <w:lang w:val="pt-PT" w:eastAsia="zh-HK"/>
        </w:rPr>
        <w:t>、</w:t>
      </w:r>
      <w:r w:rsidRPr="002D5974">
        <w:rPr>
          <w:rFonts w:hint="eastAsia"/>
          <w:sz w:val="28"/>
          <w:szCs w:val="28"/>
          <w:lang w:val="pt-PT"/>
        </w:rPr>
        <w:t>宣誓</w:t>
      </w:r>
      <w:r>
        <w:rPr>
          <w:rFonts w:hint="eastAsia"/>
          <w:sz w:val="28"/>
          <w:szCs w:val="28"/>
          <w:lang w:val="pt-PT" w:eastAsia="zh-HK"/>
        </w:rPr>
        <w:t>、</w:t>
      </w:r>
      <w:r w:rsidRPr="002D5974">
        <w:rPr>
          <w:rFonts w:hint="eastAsia"/>
          <w:sz w:val="28"/>
          <w:szCs w:val="28"/>
          <w:lang w:val="pt-PT"/>
        </w:rPr>
        <w:t>報酬（</w:t>
      </w:r>
      <w:r w:rsidRPr="002D5974">
        <w:rPr>
          <w:rFonts w:eastAsia="標楷體" w:hAnsi="標楷體"/>
          <w:sz w:val="28"/>
          <w:szCs w:val="28"/>
          <w:lang w:val="pt-PT"/>
        </w:rPr>
        <w:t>《</w:t>
      </w:r>
      <w:r w:rsidRPr="002D5974">
        <w:rPr>
          <w:rFonts w:eastAsia="標楷體" w:hAnsi="標楷體" w:hint="eastAsia"/>
          <w:sz w:val="28"/>
          <w:szCs w:val="28"/>
          <w:lang w:val="pt-PT"/>
        </w:rPr>
        <w:t>刑</w:t>
      </w:r>
      <w:r w:rsidRPr="002D5974">
        <w:rPr>
          <w:rFonts w:eastAsia="標楷體" w:hAnsi="標楷體"/>
          <w:sz w:val="28"/>
          <w:szCs w:val="28"/>
          <w:lang w:val="pt-PT"/>
        </w:rPr>
        <w:t>事訴訟法典》</w:t>
      </w:r>
      <w:r w:rsidRPr="002D5974">
        <w:rPr>
          <w:rFonts w:eastAsia="標楷體" w:hAnsi="標楷體" w:hint="eastAsia"/>
          <w:sz w:val="28"/>
          <w:szCs w:val="28"/>
          <w:lang w:val="pt-PT"/>
        </w:rPr>
        <w:t>第</w:t>
      </w:r>
      <w:r w:rsidRPr="002D5974">
        <w:rPr>
          <w:rFonts w:eastAsia="標楷體" w:hAnsi="標楷體" w:hint="eastAsia"/>
          <w:sz w:val="28"/>
          <w:szCs w:val="28"/>
          <w:lang w:val="pt-PT"/>
        </w:rPr>
        <w:t>299</w:t>
      </w:r>
      <w:r w:rsidRPr="002D5974">
        <w:rPr>
          <w:rFonts w:eastAsia="標楷體" w:hAnsi="標楷體" w:hint="eastAsia"/>
          <w:sz w:val="28"/>
          <w:szCs w:val="28"/>
          <w:lang w:val="pt-PT"/>
        </w:rPr>
        <w:t>條</w:t>
      </w:r>
      <w:r w:rsidRPr="002D5974">
        <w:rPr>
          <w:rFonts w:hint="eastAsia"/>
          <w:sz w:val="28"/>
          <w:szCs w:val="28"/>
          <w:lang w:val="pt-PT"/>
        </w:rPr>
        <w:t>）</w:t>
      </w:r>
      <w:r>
        <w:rPr>
          <w:rFonts w:hint="eastAsia"/>
          <w:sz w:val="28"/>
          <w:szCs w:val="28"/>
          <w:lang w:val="pt-PT" w:eastAsia="zh-HK"/>
        </w:rPr>
        <w:t>、</w:t>
      </w:r>
      <w:r w:rsidRPr="002D5974">
        <w:rPr>
          <w:rFonts w:hint="eastAsia"/>
          <w:sz w:val="28"/>
          <w:szCs w:val="28"/>
          <w:lang w:val="pt-PT"/>
        </w:rPr>
        <w:t>作證的障礙</w:t>
      </w:r>
      <w:r>
        <w:rPr>
          <w:rFonts w:hint="eastAsia"/>
          <w:sz w:val="28"/>
          <w:szCs w:val="28"/>
          <w:lang w:val="pt-PT"/>
        </w:rPr>
        <w:t>。</w:t>
      </w:r>
    </w:p>
    <w:p w:rsidR="00FB15E3" w:rsidRDefault="00FB15E3" w:rsidP="002B323B">
      <w:pPr>
        <w:pStyle w:val="ae"/>
        <w:spacing w:beforeLines="50" w:before="180" w:line="460" w:lineRule="exact"/>
        <w:ind w:leftChars="0" w:left="0" w:firstLineChars="150" w:firstLine="420"/>
        <w:jc w:val="both"/>
        <w:rPr>
          <w:rFonts w:ascii="標楷體" w:eastAsia="標楷體" w:hAnsi="標楷體"/>
          <w:sz w:val="28"/>
          <w:szCs w:val="28"/>
          <w:lang w:val="pt-PT"/>
        </w:rPr>
      </w:pPr>
      <w:r w:rsidRPr="002D5974">
        <w:rPr>
          <w:rFonts w:ascii="標楷體" w:eastAsia="標楷體" w:hAnsi="標楷體"/>
          <w:sz w:val="28"/>
          <w:szCs w:val="28"/>
          <w:lang w:val="pt-PT"/>
        </w:rPr>
        <w:t>近親之間有權拒絕作證</w:t>
      </w:r>
      <w:r w:rsidRPr="002D5974">
        <w:rPr>
          <w:rFonts w:ascii="標楷體" w:eastAsia="標楷體" w:hAnsi="標楷體" w:hint="eastAsia"/>
          <w:sz w:val="28"/>
          <w:szCs w:val="28"/>
          <w:lang w:val="pt-PT"/>
        </w:rPr>
        <w:t>（分別見</w:t>
      </w:r>
      <w:r w:rsidRPr="002D5974">
        <w:rPr>
          <w:rFonts w:eastAsia="標楷體" w:hAnsi="標楷體"/>
          <w:sz w:val="28"/>
          <w:szCs w:val="28"/>
          <w:lang w:val="pt-PT"/>
        </w:rPr>
        <w:t>《民事訴訟法典》第</w:t>
      </w:r>
      <w:r w:rsidRPr="002D5974">
        <w:rPr>
          <w:rFonts w:eastAsia="標楷體"/>
          <w:sz w:val="28"/>
          <w:szCs w:val="28"/>
          <w:lang w:val="pt-PT"/>
        </w:rPr>
        <w:t>519</w:t>
      </w:r>
      <w:r w:rsidRPr="002D5974">
        <w:rPr>
          <w:rFonts w:ascii="標楷體" w:eastAsia="標楷體" w:hAnsi="標楷體" w:hint="eastAsia"/>
          <w:sz w:val="28"/>
          <w:szCs w:val="28"/>
          <w:lang w:val="pt-PT"/>
        </w:rPr>
        <w:t>條及</w:t>
      </w:r>
      <w:r w:rsidRPr="002D5974">
        <w:rPr>
          <w:rFonts w:eastAsia="標楷體" w:hAnsi="標楷體"/>
          <w:sz w:val="28"/>
          <w:szCs w:val="28"/>
          <w:lang w:val="pt-PT"/>
        </w:rPr>
        <w:t>《</w:t>
      </w:r>
      <w:r w:rsidRPr="002D5974">
        <w:rPr>
          <w:rFonts w:eastAsia="標楷體" w:hAnsi="標楷體" w:hint="eastAsia"/>
          <w:sz w:val="28"/>
          <w:szCs w:val="28"/>
          <w:lang w:val="pt-PT"/>
        </w:rPr>
        <w:t>刑</w:t>
      </w:r>
      <w:r w:rsidRPr="002D5974">
        <w:rPr>
          <w:rFonts w:eastAsia="標楷體" w:hAnsi="標楷體"/>
          <w:sz w:val="28"/>
          <w:szCs w:val="28"/>
          <w:lang w:val="pt-PT"/>
        </w:rPr>
        <w:t>事訴訟法典》</w:t>
      </w:r>
      <w:r w:rsidRPr="002D5974">
        <w:rPr>
          <w:rFonts w:eastAsia="標楷體" w:hAnsi="標楷體" w:hint="eastAsia"/>
          <w:sz w:val="28"/>
          <w:szCs w:val="28"/>
          <w:lang w:val="pt-PT"/>
        </w:rPr>
        <w:t>第</w:t>
      </w:r>
      <w:r w:rsidRPr="002D5974">
        <w:rPr>
          <w:rFonts w:eastAsia="標楷體" w:hAnsi="標楷體" w:hint="eastAsia"/>
          <w:sz w:val="28"/>
          <w:szCs w:val="28"/>
          <w:lang w:val="pt-PT"/>
        </w:rPr>
        <w:t>121</w:t>
      </w:r>
      <w:r w:rsidRPr="002D5974">
        <w:rPr>
          <w:rFonts w:eastAsia="標楷體" w:hAnsi="標楷體" w:hint="eastAsia"/>
          <w:sz w:val="28"/>
          <w:szCs w:val="28"/>
          <w:lang w:val="pt-PT"/>
        </w:rPr>
        <w:t>條</w:t>
      </w:r>
      <w:r w:rsidRPr="002D5974">
        <w:rPr>
          <w:rFonts w:ascii="標楷體" w:eastAsia="標楷體" w:hAnsi="標楷體" w:hint="eastAsia"/>
          <w:sz w:val="28"/>
          <w:szCs w:val="28"/>
          <w:lang w:val="pt-PT"/>
        </w:rPr>
        <w:t>）。</w:t>
      </w:r>
    </w:p>
    <w:p w:rsidR="00FB15E3" w:rsidRPr="00FB15E3" w:rsidRDefault="00FB15E3" w:rsidP="002B323B">
      <w:pPr>
        <w:pStyle w:val="ae"/>
        <w:spacing w:beforeLines="50" w:before="180" w:line="460" w:lineRule="exact"/>
        <w:ind w:leftChars="0" w:left="0" w:firstLineChars="150" w:firstLine="420"/>
        <w:jc w:val="both"/>
        <w:rPr>
          <w:b/>
          <w:sz w:val="28"/>
          <w:szCs w:val="28"/>
        </w:rPr>
      </w:pPr>
    </w:p>
    <w:p w:rsidR="00FB15E3" w:rsidRPr="00FB15E3" w:rsidRDefault="00FB15E3"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PT"/>
        </w:rPr>
        <w:t>案件的分發</w:t>
      </w:r>
    </w:p>
    <w:p w:rsidR="00FB15E3" w:rsidRDefault="00FB15E3" w:rsidP="002B323B">
      <w:pPr>
        <w:pStyle w:val="ae"/>
        <w:spacing w:beforeLines="50" w:before="180" w:line="460" w:lineRule="exact"/>
        <w:ind w:leftChars="0" w:left="0" w:firstLineChars="150" w:firstLine="420"/>
        <w:jc w:val="both"/>
        <w:rPr>
          <w:sz w:val="28"/>
          <w:szCs w:val="28"/>
          <w:lang w:val="pt-PT" w:eastAsia="zh-HK"/>
        </w:rPr>
      </w:pPr>
      <w:r w:rsidRPr="002D5974">
        <w:rPr>
          <w:rFonts w:hint="eastAsia"/>
          <w:sz w:val="28"/>
          <w:szCs w:val="28"/>
          <w:lang w:val="pt-PT"/>
        </w:rPr>
        <w:t>過往採取人手抽籤形式</w:t>
      </w:r>
      <w:r>
        <w:rPr>
          <w:rFonts w:hint="eastAsia"/>
          <w:sz w:val="28"/>
          <w:szCs w:val="28"/>
          <w:lang w:val="pt-PT"/>
        </w:rPr>
        <w:t>，</w:t>
      </w:r>
      <w:r>
        <w:rPr>
          <w:rFonts w:hint="eastAsia"/>
          <w:sz w:val="28"/>
          <w:szCs w:val="28"/>
          <w:lang w:val="pt-PT" w:eastAsia="zh-HK"/>
        </w:rPr>
        <w:t>其後發展為</w:t>
      </w:r>
      <w:r w:rsidRPr="002D5974">
        <w:rPr>
          <w:rFonts w:hint="eastAsia"/>
          <w:sz w:val="28"/>
          <w:szCs w:val="28"/>
          <w:lang w:val="pt-PT"/>
        </w:rPr>
        <w:t>電腦隨機分發</w:t>
      </w:r>
      <w:r>
        <w:rPr>
          <w:rFonts w:hint="eastAsia"/>
          <w:sz w:val="28"/>
          <w:szCs w:val="28"/>
          <w:lang w:val="pt-PT"/>
        </w:rPr>
        <w:t>，</w:t>
      </w:r>
      <w:r>
        <w:rPr>
          <w:rFonts w:hint="eastAsia"/>
          <w:sz w:val="28"/>
          <w:szCs w:val="28"/>
          <w:lang w:val="pt-PT" w:eastAsia="zh-HK"/>
        </w:rPr>
        <w:t>並由當值法官輪流主持。</w:t>
      </w:r>
    </w:p>
    <w:p w:rsidR="00FB15E3" w:rsidRPr="00FB15E3" w:rsidRDefault="00FB15E3" w:rsidP="002B323B">
      <w:pPr>
        <w:pStyle w:val="ae"/>
        <w:spacing w:beforeLines="50" w:before="180" w:line="460" w:lineRule="exact"/>
        <w:ind w:leftChars="0" w:left="0" w:firstLineChars="150" w:firstLine="420"/>
        <w:jc w:val="both"/>
        <w:rPr>
          <w:sz w:val="28"/>
          <w:szCs w:val="28"/>
        </w:rPr>
      </w:pPr>
    </w:p>
    <w:p w:rsidR="00FB15E3" w:rsidRPr="00FB15E3" w:rsidRDefault="00FB15E3"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PT"/>
        </w:rPr>
        <w:t>自然法官原則</w:t>
      </w:r>
    </w:p>
    <w:p w:rsidR="00FB15E3" w:rsidRDefault="00FB15E3" w:rsidP="002B323B">
      <w:pPr>
        <w:pStyle w:val="ae"/>
        <w:spacing w:beforeLines="50" w:before="180" w:line="460" w:lineRule="exact"/>
        <w:ind w:leftChars="0" w:left="420"/>
        <w:jc w:val="both"/>
        <w:rPr>
          <w:sz w:val="28"/>
          <w:szCs w:val="28"/>
          <w:lang w:val="pt-PT"/>
        </w:rPr>
      </w:pPr>
      <w:r w:rsidRPr="002D5974">
        <w:rPr>
          <w:rFonts w:hint="eastAsia"/>
          <w:sz w:val="28"/>
          <w:szCs w:val="28"/>
          <w:lang w:val="pt-PT"/>
        </w:rPr>
        <w:t>禁止自行選擇審理的法官</w:t>
      </w:r>
      <w:r>
        <w:rPr>
          <w:rFonts w:hint="eastAsia"/>
          <w:sz w:val="28"/>
          <w:szCs w:val="28"/>
          <w:lang w:val="pt-PT"/>
        </w:rPr>
        <w:t>，</w:t>
      </w:r>
      <w:r>
        <w:rPr>
          <w:rFonts w:hint="eastAsia"/>
          <w:sz w:val="28"/>
          <w:szCs w:val="28"/>
          <w:lang w:val="pt-PT" w:eastAsia="zh-HK"/>
        </w:rPr>
        <w:t>必須</w:t>
      </w:r>
      <w:r w:rsidRPr="002D5974">
        <w:rPr>
          <w:rFonts w:hint="eastAsia"/>
          <w:sz w:val="28"/>
          <w:szCs w:val="28"/>
          <w:lang w:val="pt-PT"/>
        </w:rPr>
        <w:t>按既定的</w:t>
      </w:r>
      <w:proofErr w:type="gramStart"/>
      <w:r w:rsidRPr="002D5974">
        <w:rPr>
          <w:rFonts w:hint="eastAsia"/>
          <w:sz w:val="28"/>
          <w:szCs w:val="28"/>
          <w:lang w:val="pt-PT"/>
        </w:rPr>
        <w:t>機制代任</w:t>
      </w:r>
      <w:proofErr w:type="gramEnd"/>
      <w:r>
        <w:rPr>
          <w:rFonts w:hint="eastAsia"/>
          <w:sz w:val="28"/>
          <w:szCs w:val="28"/>
          <w:lang w:val="pt-PT"/>
        </w:rPr>
        <w:t>。</w:t>
      </w:r>
    </w:p>
    <w:p w:rsidR="00D2378B" w:rsidRDefault="00D2378B" w:rsidP="002B323B">
      <w:pPr>
        <w:pStyle w:val="ae"/>
        <w:spacing w:beforeLines="50" w:before="180" w:line="460" w:lineRule="exact"/>
        <w:ind w:leftChars="0" w:left="420"/>
        <w:jc w:val="both"/>
        <w:rPr>
          <w:sz w:val="28"/>
          <w:szCs w:val="28"/>
          <w:lang w:val="pt-PT"/>
        </w:rPr>
      </w:pPr>
      <w:r>
        <w:rPr>
          <w:rFonts w:hint="eastAsia"/>
          <w:sz w:val="28"/>
          <w:szCs w:val="28"/>
          <w:lang w:val="pt-PT"/>
        </w:rPr>
        <w:t>目前法院案件的分發方式原則上以電腦的隨機分發方式進行，在一審法院中，</w:t>
      </w:r>
      <w:r>
        <w:rPr>
          <w:rFonts w:ascii="新細明體" w:hAnsi="新細明體" w:cs="新細明體" w:hint="eastAsia"/>
          <w:sz w:val="28"/>
          <w:szCs w:val="28"/>
          <w:lang w:val="pt-PT"/>
        </w:rPr>
        <w:t>經中心科分發（抽籤）後，案件便會進入相應的分庭，按順序</w:t>
      </w:r>
      <w:proofErr w:type="gramStart"/>
      <w:r>
        <w:rPr>
          <w:rFonts w:ascii="新細明體" w:hAnsi="新細明體" w:cs="新細明體" w:hint="eastAsia"/>
          <w:sz w:val="28"/>
          <w:szCs w:val="28"/>
          <w:lang w:val="pt-PT"/>
        </w:rPr>
        <w:t>編製案號</w:t>
      </w:r>
      <w:proofErr w:type="gramEnd"/>
      <w:r>
        <w:rPr>
          <w:rFonts w:ascii="新細明體" w:hAnsi="新細明體" w:cs="新細明體" w:hint="eastAsia"/>
          <w:sz w:val="28"/>
          <w:szCs w:val="28"/>
          <w:lang w:val="pt-PT"/>
        </w:rPr>
        <w:t>後便會由相應的</w:t>
      </w:r>
      <w:proofErr w:type="gramStart"/>
      <w:r>
        <w:rPr>
          <w:rFonts w:ascii="新細明體" w:hAnsi="新細明體" w:cs="新細明體" w:hint="eastAsia"/>
          <w:sz w:val="28"/>
          <w:szCs w:val="28"/>
          <w:lang w:val="pt-PT"/>
        </w:rPr>
        <w:t>司法文員及</w:t>
      </w:r>
      <w:proofErr w:type="gramEnd"/>
      <w:r>
        <w:rPr>
          <w:rFonts w:ascii="新細明體" w:hAnsi="新細明體" w:cs="新細明體" w:hint="eastAsia"/>
          <w:sz w:val="28"/>
          <w:szCs w:val="28"/>
          <w:lang w:val="pt-PT"/>
        </w:rPr>
        <w:t>法官處理</w:t>
      </w:r>
      <w:r>
        <w:rPr>
          <w:rFonts w:hint="eastAsia"/>
          <w:sz w:val="28"/>
          <w:szCs w:val="28"/>
          <w:lang w:val="pt-PT"/>
        </w:rPr>
        <w:t>。</w:t>
      </w:r>
    </w:p>
    <w:p w:rsidR="00D93349" w:rsidRDefault="00B33379" w:rsidP="00B33379">
      <w:pPr>
        <w:pStyle w:val="ae"/>
        <w:spacing w:beforeLines="50" w:before="180" w:line="460" w:lineRule="exact"/>
        <w:ind w:leftChars="0" w:left="420"/>
        <w:jc w:val="both"/>
        <w:rPr>
          <w:rFonts w:ascii="新細明體" w:hAnsi="新細明體" w:cs="新細明體"/>
          <w:sz w:val="28"/>
          <w:szCs w:val="28"/>
          <w:lang w:val="pt-PT"/>
        </w:rPr>
      </w:pPr>
      <w:r>
        <w:rPr>
          <w:rFonts w:hint="eastAsia"/>
          <w:sz w:val="28"/>
          <w:szCs w:val="28"/>
          <w:lang w:val="pt-PT"/>
        </w:rPr>
        <w:t>法官展</w:t>
      </w:r>
      <w:r>
        <w:rPr>
          <w:rFonts w:ascii="新細明體" w:hAnsi="新細明體" w:cs="新細明體" w:hint="eastAsia"/>
          <w:sz w:val="28"/>
          <w:szCs w:val="28"/>
          <w:lang w:val="pt-PT"/>
        </w:rPr>
        <w:t>案件的審判工作後，中途不能更換法官，</w:t>
      </w:r>
      <w:proofErr w:type="gramStart"/>
      <w:r w:rsidR="00B3452E">
        <w:rPr>
          <w:rFonts w:ascii="新細明體" w:hAnsi="新細明體" w:cs="新細明體" w:hint="eastAsia"/>
          <w:sz w:val="28"/>
          <w:szCs w:val="28"/>
          <w:lang w:val="pt-PT"/>
        </w:rPr>
        <w:t>並需</w:t>
      </w:r>
      <w:r>
        <w:rPr>
          <w:rFonts w:ascii="新細明體" w:hAnsi="新細明體" w:cs="新細明體" w:hint="eastAsia"/>
          <w:sz w:val="28"/>
          <w:szCs w:val="28"/>
          <w:lang w:val="pt-PT"/>
        </w:rPr>
        <w:t>直至</w:t>
      </w:r>
      <w:proofErr w:type="gramEnd"/>
      <w:r>
        <w:rPr>
          <w:rFonts w:ascii="新細明體" w:hAnsi="新細明體" w:cs="新細明體" w:hint="eastAsia"/>
          <w:sz w:val="28"/>
          <w:szCs w:val="28"/>
          <w:lang w:val="pt-PT"/>
        </w:rPr>
        <w:t>其完成審判</w:t>
      </w:r>
      <w:proofErr w:type="gramStart"/>
      <w:r w:rsidR="00B3452E">
        <w:rPr>
          <w:rFonts w:ascii="新細明體" w:hAnsi="新細明體" w:cs="新細明體" w:hint="eastAsia"/>
          <w:sz w:val="28"/>
          <w:szCs w:val="28"/>
          <w:lang w:val="pt-PT"/>
        </w:rPr>
        <w:t>（</w:t>
      </w:r>
      <w:proofErr w:type="gramEnd"/>
      <w:r w:rsidR="00B3452E">
        <w:rPr>
          <w:rFonts w:ascii="新細明體" w:hAnsi="新細明體" w:cs="新細明體" w:hint="eastAsia"/>
          <w:sz w:val="28"/>
          <w:szCs w:val="28"/>
          <w:lang w:val="pt-PT"/>
        </w:rPr>
        <w:t>民事案件：直至完成對篩選事實的決定</w:t>
      </w:r>
      <w:proofErr w:type="gramStart"/>
      <w:r w:rsidR="00B3452E">
        <w:rPr>
          <w:rFonts w:ascii="新細明體" w:hAnsi="新細明體" w:cs="新細明體" w:hint="eastAsia"/>
          <w:sz w:val="28"/>
          <w:szCs w:val="28"/>
          <w:lang w:val="pt-PT"/>
        </w:rPr>
        <w:t>）</w:t>
      </w:r>
      <w:proofErr w:type="gramEnd"/>
      <w:r>
        <w:rPr>
          <w:rFonts w:ascii="新細明體" w:hAnsi="新細明體" w:cs="新細明體" w:hint="eastAsia"/>
          <w:sz w:val="28"/>
          <w:szCs w:val="28"/>
          <w:lang w:val="pt-PT"/>
        </w:rPr>
        <w:t>為止，</w:t>
      </w:r>
      <w:r w:rsidR="00D93349">
        <w:rPr>
          <w:rFonts w:ascii="新細明體" w:hAnsi="新細明體" w:cs="新細明體" w:hint="eastAsia"/>
          <w:sz w:val="28"/>
          <w:szCs w:val="28"/>
          <w:lang w:val="pt-PT"/>
        </w:rPr>
        <w:t>如遇特殊情況無法由原來的法官完成審判，且必須更換法官，這時，案件便要重新進行審理。</w:t>
      </w:r>
    </w:p>
    <w:p w:rsidR="00B33379" w:rsidRDefault="00D93349" w:rsidP="00B33379">
      <w:pPr>
        <w:pStyle w:val="ae"/>
        <w:spacing w:beforeLines="50" w:before="180" w:line="460" w:lineRule="exact"/>
        <w:ind w:leftChars="0" w:left="420"/>
        <w:jc w:val="both"/>
        <w:rPr>
          <w:rFonts w:ascii="新細明體" w:hAnsi="新細明體" w:cs="新細明體"/>
          <w:sz w:val="28"/>
          <w:szCs w:val="28"/>
          <w:lang w:val="pt-PT"/>
        </w:rPr>
      </w:pPr>
      <w:r>
        <w:rPr>
          <w:rFonts w:ascii="新細明體" w:hAnsi="新細明體" w:cs="新細明體" w:hint="eastAsia"/>
          <w:sz w:val="28"/>
          <w:szCs w:val="28"/>
          <w:lang w:val="pt-PT"/>
        </w:rPr>
        <w:t>基於此一機制，</w:t>
      </w:r>
      <w:r w:rsidR="00B33379">
        <w:rPr>
          <w:rFonts w:ascii="新細明體" w:hAnsi="新細明體" w:cs="新細明體" w:hint="eastAsia"/>
          <w:sz w:val="28"/>
          <w:szCs w:val="28"/>
          <w:lang w:val="pt-PT"/>
        </w:rPr>
        <w:t>法官的更替也是需要嚴</w:t>
      </w:r>
      <w:r w:rsidR="00B3452E">
        <w:rPr>
          <w:rFonts w:ascii="新細明體" w:hAnsi="新細明體" w:cs="新細明體" w:hint="eastAsia"/>
          <w:sz w:val="28"/>
          <w:szCs w:val="28"/>
          <w:lang w:val="pt-PT"/>
        </w:rPr>
        <w:t>格</w:t>
      </w:r>
      <w:r w:rsidR="00B33379">
        <w:rPr>
          <w:rFonts w:ascii="新細明體" w:hAnsi="新細明體" w:cs="新細明體" w:hint="eastAsia"/>
          <w:sz w:val="28"/>
          <w:szCs w:val="28"/>
          <w:lang w:val="pt-PT"/>
        </w:rPr>
        <w:t>遵守法律的規定</w:t>
      </w:r>
      <w:r>
        <w:rPr>
          <w:rFonts w:ascii="新細明體" w:hAnsi="新細明體" w:cs="新細明體" w:hint="eastAsia"/>
          <w:sz w:val="28"/>
          <w:szCs w:val="28"/>
          <w:lang w:val="pt-PT"/>
        </w:rPr>
        <w:t>或法官委員會預先訂立的機制</w:t>
      </w:r>
      <w:proofErr w:type="gramStart"/>
      <w:r>
        <w:rPr>
          <w:rFonts w:ascii="新細明體" w:hAnsi="新細明體" w:cs="新細明體" w:hint="eastAsia"/>
          <w:sz w:val="28"/>
          <w:szCs w:val="28"/>
          <w:lang w:val="pt-PT"/>
        </w:rPr>
        <w:t>（</w:t>
      </w:r>
      <w:proofErr w:type="gramEnd"/>
      <w:r>
        <w:rPr>
          <w:rFonts w:ascii="新細明體" w:hAnsi="新細明體" w:cs="新細明體" w:hint="eastAsia"/>
          <w:sz w:val="28"/>
          <w:szCs w:val="28"/>
          <w:lang w:val="pt-PT"/>
        </w:rPr>
        <w:t>例如：重審需要新合議庭的介入、法官缺勤、法官迴避等</w:t>
      </w:r>
      <w:proofErr w:type="gramStart"/>
      <w:r>
        <w:rPr>
          <w:rFonts w:ascii="新細明體" w:hAnsi="新細明體" w:cs="新細明體" w:hint="eastAsia"/>
          <w:sz w:val="28"/>
          <w:szCs w:val="28"/>
          <w:lang w:val="pt-PT"/>
        </w:rPr>
        <w:t>）</w:t>
      </w:r>
      <w:proofErr w:type="gramEnd"/>
      <w:r w:rsidR="00B33379">
        <w:rPr>
          <w:rFonts w:ascii="新細明體" w:hAnsi="新細明體" w:cs="新細明體" w:hint="eastAsia"/>
          <w:sz w:val="28"/>
          <w:szCs w:val="28"/>
          <w:lang w:val="pt-PT"/>
        </w:rPr>
        <w:t>。</w:t>
      </w:r>
    </w:p>
    <w:p w:rsidR="00FB15E3" w:rsidRPr="00FB15E3" w:rsidRDefault="00FB15E3" w:rsidP="002B323B">
      <w:pPr>
        <w:pStyle w:val="ae"/>
        <w:spacing w:beforeLines="50" w:before="180" w:line="460" w:lineRule="exact"/>
        <w:ind w:leftChars="0" w:left="0"/>
        <w:jc w:val="both"/>
        <w:rPr>
          <w:b/>
          <w:sz w:val="28"/>
          <w:szCs w:val="28"/>
        </w:rPr>
      </w:pPr>
    </w:p>
    <w:p w:rsidR="00FB15E3" w:rsidRPr="00FB15E3" w:rsidRDefault="00FB15E3"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BR"/>
        </w:rPr>
        <w:t>司法官的制度</w:t>
      </w:r>
    </w:p>
    <w:p w:rsidR="00FB15E3" w:rsidRDefault="00FB15E3" w:rsidP="002B323B">
      <w:pPr>
        <w:pStyle w:val="ae"/>
        <w:spacing w:beforeLines="50" w:before="180" w:line="460" w:lineRule="exact"/>
        <w:ind w:leftChars="0" w:left="0" w:firstLineChars="150" w:firstLine="420"/>
        <w:jc w:val="both"/>
        <w:rPr>
          <w:sz w:val="28"/>
          <w:szCs w:val="28"/>
          <w:lang w:val="pt-BR"/>
        </w:rPr>
      </w:pPr>
      <w:r w:rsidRPr="002D5974">
        <w:rPr>
          <w:rFonts w:hint="eastAsia"/>
          <w:sz w:val="28"/>
          <w:szCs w:val="28"/>
          <w:lang w:val="pt-BR"/>
        </w:rPr>
        <w:t>進入司法官團的途徑</w:t>
      </w:r>
      <w:r>
        <w:rPr>
          <w:rFonts w:hint="eastAsia"/>
          <w:sz w:val="28"/>
          <w:szCs w:val="28"/>
          <w:lang w:val="pt-BR"/>
        </w:rPr>
        <w:t>（</w:t>
      </w:r>
      <w:r w:rsidRPr="002D5974">
        <w:rPr>
          <w:rFonts w:eastAsia="標楷體" w:hAnsi="標楷體"/>
          <w:sz w:val="28"/>
          <w:szCs w:val="28"/>
          <w:lang w:val="pt-PT"/>
        </w:rPr>
        <w:t>第</w:t>
      </w:r>
      <w:r w:rsidRPr="002D5974">
        <w:rPr>
          <w:rFonts w:eastAsia="標楷體"/>
          <w:sz w:val="28"/>
          <w:szCs w:val="28"/>
          <w:lang w:val="pt-PT"/>
        </w:rPr>
        <w:t>10/1999</w:t>
      </w:r>
      <w:r w:rsidRPr="002D5974">
        <w:rPr>
          <w:rFonts w:eastAsia="標楷體" w:hAnsi="標楷體"/>
          <w:sz w:val="28"/>
          <w:szCs w:val="28"/>
          <w:lang w:val="pt-PT"/>
        </w:rPr>
        <w:t>號法律《司法官通則》第</w:t>
      </w:r>
      <w:r w:rsidRPr="002D5974">
        <w:rPr>
          <w:rFonts w:eastAsia="標楷體" w:hint="eastAsia"/>
          <w:sz w:val="28"/>
          <w:szCs w:val="28"/>
          <w:lang w:val="pt-PT"/>
        </w:rPr>
        <w:t>16</w:t>
      </w:r>
      <w:r w:rsidRPr="002D5974">
        <w:rPr>
          <w:rFonts w:eastAsia="標楷體" w:hAnsi="標楷體"/>
          <w:sz w:val="28"/>
          <w:szCs w:val="28"/>
          <w:lang w:val="pt-PT"/>
        </w:rPr>
        <w:t>條規定</w:t>
      </w:r>
      <w:r>
        <w:rPr>
          <w:rFonts w:hint="eastAsia"/>
          <w:sz w:val="28"/>
          <w:szCs w:val="28"/>
          <w:lang w:val="pt-BR"/>
        </w:rPr>
        <w:t>）。</w:t>
      </w:r>
    </w:p>
    <w:p w:rsidR="00FB15E3" w:rsidRPr="00FB15E3" w:rsidRDefault="00FB15E3" w:rsidP="002B323B">
      <w:pPr>
        <w:pStyle w:val="ae"/>
        <w:spacing w:beforeLines="50" w:before="180" w:line="460" w:lineRule="exact"/>
        <w:ind w:leftChars="0" w:left="0" w:firstLineChars="150" w:firstLine="420"/>
        <w:jc w:val="both"/>
        <w:rPr>
          <w:b/>
          <w:sz w:val="28"/>
          <w:szCs w:val="28"/>
        </w:rPr>
      </w:pPr>
    </w:p>
    <w:p w:rsidR="00FB15E3" w:rsidRPr="00FB15E3" w:rsidRDefault="00FB15E3" w:rsidP="002B323B">
      <w:pPr>
        <w:pStyle w:val="ae"/>
        <w:numPr>
          <w:ilvl w:val="0"/>
          <w:numId w:val="14"/>
        </w:numPr>
        <w:spacing w:beforeLines="50" w:before="180" w:line="460" w:lineRule="exact"/>
        <w:ind w:leftChars="0"/>
        <w:jc w:val="both"/>
        <w:rPr>
          <w:b/>
          <w:sz w:val="28"/>
          <w:szCs w:val="28"/>
        </w:rPr>
      </w:pPr>
      <w:r w:rsidRPr="002D5974">
        <w:rPr>
          <w:rFonts w:hint="eastAsia"/>
          <w:b/>
          <w:sz w:val="28"/>
          <w:szCs w:val="28"/>
          <w:lang w:val="pt-PT"/>
        </w:rPr>
        <w:t>司法文員的職責</w:t>
      </w:r>
    </w:p>
    <w:p w:rsidR="00FB15E3" w:rsidRDefault="00FB15E3" w:rsidP="002B323B">
      <w:pPr>
        <w:pStyle w:val="ae"/>
        <w:spacing w:beforeLines="50" w:before="180" w:line="460" w:lineRule="exact"/>
        <w:ind w:leftChars="0" w:left="420"/>
        <w:jc w:val="both"/>
        <w:rPr>
          <w:b/>
          <w:sz w:val="28"/>
          <w:szCs w:val="28"/>
          <w:lang w:val="pt-PT"/>
        </w:rPr>
      </w:pPr>
      <w:r w:rsidRPr="002D5974">
        <w:rPr>
          <w:rFonts w:hint="eastAsia"/>
          <w:sz w:val="28"/>
          <w:szCs w:val="28"/>
          <w:lang w:val="pt-PT"/>
        </w:rPr>
        <w:t>推動案件的進行</w:t>
      </w:r>
      <w:r>
        <w:rPr>
          <w:rFonts w:ascii="新細明體" w:hAnsi="新細明體" w:hint="eastAsia"/>
          <w:sz w:val="28"/>
          <w:szCs w:val="28"/>
          <w:lang w:val="pt-PT"/>
        </w:rPr>
        <w:t>、</w:t>
      </w:r>
      <w:r w:rsidRPr="002D5974">
        <w:rPr>
          <w:rFonts w:hint="eastAsia"/>
          <w:sz w:val="28"/>
          <w:szCs w:val="28"/>
          <w:lang w:val="pt-PT"/>
        </w:rPr>
        <w:t>執行法官的批示、繕立庭審筆錄、簽發公函</w:t>
      </w:r>
      <w:r>
        <w:rPr>
          <w:rFonts w:hint="eastAsia"/>
          <w:sz w:val="28"/>
          <w:szCs w:val="28"/>
          <w:lang w:val="pt-PT"/>
        </w:rPr>
        <w:t>。</w:t>
      </w:r>
    </w:p>
    <w:p w:rsidR="00FB15E3" w:rsidRDefault="00FB15E3" w:rsidP="002B323B">
      <w:pPr>
        <w:pStyle w:val="ae"/>
        <w:spacing w:beforeLines="50" w:before="180" w:line="460" w:lineRule="exact"/>
        <w:ind w:leftChars="0" w:left="420"/>
        <w:jc w:val="both"/>
        <w:rPr>
          <w:rFonts w:ascii="新細明體" w:hAnsi="新細明體" w:cs="新細明體"/>
          <w:sz w:val="28"/>
          <w:szCs w:val="28"/>
          <w:lang w:val="pt-PT"/>
        </w:rPr>
      </w:pPr>
      <w:r w:rsidRPr="002D5974">
        <w:rPr>
          <w:rFonts w:hint="eastAsia"/>
          <w:sz w:val="28"/>
          <w:szCs w:val="28"/>
          <w:lang w:val="pt-PT"/>
        </w:rPr>
        <w:t>進入司法文員職程、工作評</w:t>
      </w:r>
      <w:r w:rsidRPr="002D5974">
        <w:rPr>
          <w:rFonts w:ascii="新細明體" w:hAnsi="新細明體" w:cs="新細明體" w:hint="eastAsia"/>
          <w:sz w:val="28"/>
          <w:szCs w:val="28"/>
          <w:lang w:val="pt-PT"/>
        </w:rPr>
        <w:t>核、晉升</w:t>
      </w:r>
      <w:r>
        <w:rPr>
          <w:rFonts w:ascii="新細明體" w:hAnsi="新細明體" w:cs="新細明體" w:hint="eastAsia"/>
          <w:sz w:val="28"/>
          <w:szCs w:val="28"/>
          <w:lang w:val="pt-PT"/>
        </w:rPr>
        <w:t>（</w:t>
      </w:r>
      <w:r>
        <w:rPr>
          <w:rFonts w:ascii="新細明體" w:hAnsi="新細明體" w:cs="新細明體" w:hint="eastAsia"/>
          <w:sz w:val="28"/>
          <w:szCs w:val="28"/>
          <w:lang w:val="pt-PT" w:eastAsia="zh-HK"/>
        </w:rPr>
        <w:t>參見</w:t>
      </w:r>
      <w:r w:rsidRPr="002D5974">
        <w:rPr>
          <w:rFonts w:ascii="新細明體" w:hAnsi="新細明體" w:hint="eastAsia"/>
          <w:sz w:val="28"/>
          <w:szCs w:val="28"/>
          <w:lang w:val="pt-PT"/>
        </w:rPr>
        <w:t>《司法輔助人員通</w:t>
      </w:r>
      <w:r w:rsidRPr="002D5974">
        <w:rPr>
          <w:rFonts w:ascii="新細明體" w:hAnsi="新細明體" w:cs="新細明體" w:hint="eastAsia"/>
          <w:sz w:val="28"/>
          <w:szCs w:val="28"/>
          <w:lang w:val="pt-PT"/>
        </w:rPr>
        <w:t>則</w:t>
      </w:r>
      <w:r w:rsidRPr="002D5974">
        <w:rPr>
          <w:rFonts w:ascii="新細明體" w:hAnsi="新細明體" w:hint="eastAsia"/>
          <w:sz w:val="28"/>
          <w:szCs w:val="28"/>
          <w:lang w:val="pt-PT"/>
        </w:rPr>
        <w:t>》</w:t>
      </w:r>
      <w:r>
        <w:rPr>
          <w:rFonts w:ascii="新細明體" w:hAnsi="新細明體" w:cs="新細明體" w:hint="eastAsia"/>
          <w:sz w:val="28"/>
          <w:szCs w:val="28"/>
          <w:lang w:val="pt-PT"/>
        </w:rPr>
        <w:t>）。</w:t>
      </w:r>
    </w:p>
    <w:p w:rsidR="00FB15E3" w:rsidRPr="002D5974" w:rsidRDefault="00FB15E3" w:rsidP="002B323B">
      <w:pPr>
        <w:pStyle w:val="ae"/>
        <w:spacing w:beforeLines="50" w:before="180" w:line="460" w:lineRule="exact"/>
        <w:ind w:leftChars="0" w:left="420"/>
        <w:jc w:val="both"/>
        <w:rPr>
          <w:b/>
          <w:sz w:val="28"/>
          <w:szCs w:val="28"/>
        </w:rPr>
      </w:pPr>
    </w:p>
    <w:p w:rsidR="00920D93" w:rsidRDefault="00FB15E3" w:rsidP="002B323B">
      <w:pPr>
        <w:pStyle w:val="ae"/>
        <w:numPr>
          <w:ilvl w:val="0"/>
          <w:numId w:val="14"/>
        </w:numPr>
        <w:tabs>
          <w:tab w:val="left" w:leader="dot" w:pos="7920"/>
        </w:tabs>
        <w:spacing w:beforeLines="50" w:before="180" w:line="460" w:lineRule="exact"/>
        <w:ind w:leftChars="0"/>
        <w:jc w:val="both"/>
        <w:rPr>
          <w:b/>
          <w:sz w:val="28"/>
          <w:szCs w:val="28"/>
          <w:lang w:val="pt-PT"/>
        </w:rPr>
      </w:pPr>
      <w:r w:rsidRPr="00FB15E3">
        <w:rPr>
          <w:rFonts w:hint="eastAsia"/>
          <w:b/>
          <w:sz w:val="28"/>
          <w:szCs w:val="28"/>
          <w:lang w:val="pt-PT"/>
        </w:rPr>
        <w:t>期間的計算</w:t>
      </w:r>
    </w:p>
    <w:p w:rsidR="00FB15E3" w:rsidRPr="00FB15E3" w:rsidRDefault="00FB15E3" w:rsidP="002B323B">
      <w:pPr>
        <w:spacing w:beforeLines="50" w:before="180" w:line="460" w:lineRule="exact"/>
        <w:ind w:firstLine="420"/>
        <w:jc w:val="both"/>
        <w:rPr>
          <w:rFonts w:eastAsia="標楷體"/>
          <w:sz w:val="28"/>
          <w:szCs w:val="28"/>
          <w:lang w:val="pt-PT"/>
        </w:rPr>
      </w:pPr>
      <w:r w:rsidRPr="00FB15E3">
        <w:rPr>
          <w:rFonts w:ascii="標楷體" w:eastAsia="標楷體" w:hAnsi="標楷體" w:hint="eastAsia"/>
          <w:sz w:val="28"/>
          <w:szCs w:val="28"/>
          <w:lang w:val="pt-PT"/>
        </w:rPr>
        <w:t>《民事訴訟法典》</w:t>
      </w:r>
      <w:r w:rsidRPr="00FB15E3">
        <w:rPr>
          <w:rFonts w:eastAsia="標楷體" w:hint="eastAsia"/>
          <w:sz w:val="28"/>
          <w:szCs w:val="28"/>
          <w:lang w:val="pt-PT"/>
        </w:rPr>
        <w:t>第</w:t>
      </w:r>
      <w:r w:rsidRPr="00FB15E3">
        <w:rPr>
          <w:rFonts w:eastAsia="標楷體" w:hint="eastAsia"/>
          <w:sz w:val="28"/>
          <w:szCs w:val="28"/>
          <w:lang w:val="pt-PT"/>
        </w:rPr>
        <w:t>201</w:t>
      </w:r>
      <w:r w:rsidRPr="00FB15E3">
        <w:rPr>
          <w:rFonts w:eastAsia="標楷體" w:hint="eastAsia"/>
          <w:sz w:val="28"/>
          <w:szCs w:val="28"/>
          <w:lang w:val="pt-PT"/>
        </w:rPr>
        <w:t>條第</w:t>
      </w:r>
      <w:r w:rsidRPr="00FB15E3">
        <w:rPr>
          <w:rFonts w:eastAsia="標楷體" w:hint="eastAsia"/>
          <w:sz w:val="28"/>
          <w:szCs w:val="28"/>
          <w:lang w:val="pt-PT"/>
        </w:rPr>
        <w:t>2</w:t>
      </w:r>
      <w:r w:rsidRPr="00FB15E3">
        <w:rPr>
          <w:rFonts w:eastAsia="標楷體" w:hint="eastAsia"/>
          <w:sz w:val="28"/>
          <w:szCs w:val="28"/>
          <w:lang w:val="pt-PT"/>
        </w:rPr>
        <w:t>款：郵遞通知視為於郵政掛號日之後第</w:t>
      </w:r>
      <w:r w:rsidRPr="00FB15E3">
        <w:rPr>
          <w:rFonts w:eastAsia="標楷體" w:hint="eastAsia"/>
          <w:sz w:val="28"/>
          <w:szCs w:val="28"/>
          <w:lang w:val="pt-PT"/>
        </w:rPr>
        <w:t>3</w:t>
      </w:r>
      <w:r w:rsidRPr="00FB15E3">
        <w:rPr>
          <w:rFonts w:eastAsia="標楷體" w:hint="eastAsia"/>
          <w:sz w:val="28"/>
          <w:szCs w:val="28"/>
          <w:lang w:val="pt-PT"/>
        </w:rPr>
        <w:t>日作出；如該日非為工作日，則視為於該日隨後之第一個工作日作出。</w:t>
      </w:r>
    </w:p>
    <w:p w:rsidR="00FB15E3" w:rsidRPr="00FB15E3" w:rsidRDefault="00FB15E3" w:rsidP="002B323B">
      <w:pPr>
        <w:spacing w:beforeLines="50" w:before="180" w:line="460" w:lineRule="exact"/>
        <w:ind w:firstLine="420"/>
        <w:jc w:val="both"/>
        <w:rPr>
          <w:rFonts w:eastAsia="標楷體"/>
          <w:sz w:val="28"/>
          <w:szCs w:val="28"/>
          <w:lang w:val="pt-PT"/>
        </w:rPr>
      </w:pPr>
      <w:r w:rsidRPr="00FB15E3">
        <w:rPr>
          <w:rFonts w:eastAsia="標楷體"/>
          <w:sz w:val="28"/>
          <w:szCs w:val="28"/>
          <w:lang w:val="pt-PT"/>
        </w:rPr>
        <w:tab/>
        <w:t>TSI-19/2004-AC (2004.3.25)</w:t>
      </w:r>
      <w:r w:rsidRPr="00FB15E3">
        <w:rPr>
          <w:rFonts w:eastAsia="標楷體"/>
          <w:sz w:val="28"/>
          <w:szCs w:val="28"/>
          <w:lang w:val="pt-PT"/>
        </w:rPr>
        <w:t>：星期六亦為郵政工作日，故針對《民事訴訟法典》第</w:t>
      </w:r>
      <w:r w:rsidRPr="00FB15E3">
        <w:rPr>
          <w:rFonts w:eastAsia="標楷體"/>
          <w:sz w:val="28"/>
          <w:szCs w:val="28"/>
          <w:lang w:val="pt-PT"/>
        </w:rPr>
        <w:t>201</w:t>
      </w:r>
      <w:r w:rsidRPr="00FB15E3">
        <w:rPr>
          <w:rFonts w:eastAsia="標楷體"/>
          <w:sz w:val="28"/>
          <w:szCs w:val="28"/>
          <w:lang w:val="pt-PT"/>
        </w:rPr>
        <w:t>條第</w:t>
      </w:r>
      <w:r w:rsidRPr="00FB15E3">
        <w:rPr>
          <w:rFonts w:eastAsia="標楷體"/>
          <w:sz w:val="28"/>
          <w:szCs w:val="28"/>
          <w:lang w:val="pt-PT"/>
        </w:rPr>
        <w:t>2</w:t>
      </w:r>
      <w:r w:rsidRPr="00FB15E3">
        <w:rPr>
          <w:rFonts w:eastAsia="標楷體"/>
          <w:sz w:val="28"/>
          <w:szCs w:val="28"/>
          <w:lang w:val="pt-PT"/>
        </w:rPr>
        <w:t>款的效力，星期六應予計算。</w:t>
      </w:r>
    </w:p>
    <w:p w:rsidR="00FB15E3" w:rsidRPr="00FB15E3" w:rsidRDefault="00FB15E3" w:rsidP="002B323B">
      <w:pPr>
        <w:spacing w:beforeLines="50" w:before="180" w:line="460" w:lineRule="exact"/>
        <w:ind w:firstLine="420"/>
        <w:jc w:val="both"/>
        <w:rPr>
          <w:rFonts w:eastAsia="標楷體"/>
          <w:sz w:val="28"/>
          <w:szCs w:val="28"/>
          <w:lang w:val="pt-PT"/>
        </w:rPr>
      </w:pPr>
      <w:r w:rsidRPr="00FB15E3">
        <w:rPr>
          <w:rFonts w:eastAsia="標楷體"/>
          <w:sz w:val="28"/>
          <w:szCs w:val="28"/>
          <w:lang w:val="pt-PT"/>
        </w:rPr>
        <w:tab/>
      </w:r>
      <w:r w:rsidRPr="00FB15E3">
        <w:rPr>
          <w:rFonts w:eastAsia="標楷體"/>
          <w:sz w:val="28"/>
          <w:szCs w:val="28"/>
          <w:lang w:val="pt-PT"/>
        </w:rPr>
        <w:t>《民事訴訟法典》第</w:t>
      </w:r>
      <w:r w:rsidRPr="00FB15E3">
        <w:rPr>
          <w:rFonts w:eastAsia="標楷體"/>
          <w:sz w:val="28"/>
          <w:szCs w:val="28"/>
          <w:lang w:val="pt-PT"/>
        </w:rPr>
        <w:t>94</w:t>
      </w:r>
      <w:r w:rsidRPr="00FB15E3">
        <w:rPr>
          <w:rFonts w:eastAsia="標楷體"/>
          <w:sz w:val="28"/>
          <w:szCs w:val="28"/>
          <w:lang w:val="pt-PT"/>
        </w:rPr>
        <w:t>條：訴訟期間連續進行，但法院假期期間中止，但期間為</w:t>
      </w:r>
      <w:r w:rsidRPr="00FB15E3">
        <w:rPr>
          <w:rFonts w:eastAsia="標楷體"/>
          <w:sz w:val="28"/>
          <w:szCs w:val="28"/>
          <w:lang w:val="pt-PT"/>
        </w:rPr>
        <w:t>6</w:t>
      </w:r>
      <w:r w:rsidRPr="00FB15E3">
        <w:rPr>
          <w:rFonts w:eastAsia="標楷體"/>
          <w:sz w:val="28"/>
          <w:szCs w:val="28"/>
          <w:lang w:val="pt-PT"/>
        </w:rPr>
        <w:t>個月或以上或屬緊急之程序中須作出者除外；行為最後一日為休息日，則隨後第一個工作日方為該期間屆滿之日；遇有全日或部分時間豁免上班者，視為法院休息。</w:t>
      </w:r>
    </w:p>
    <w:p w:rsidR="00FB15E3" w:rsidRPr="00FB15E3" w:rsidRDefault="00FB15E3" w:rsidP="002B323B">
      <w:pPr>
        <w:spacing w:beforeLines="50" w:before="180" w:line="460" w:lineRule="exact"/>
        <w:ind w:firstLine="420"/>
        <w:jc w:val="both"/>
        <w:rPr>
          <w:rFonts w:eastAsia="標楷體"/>
          <w:sz w:val="28"/>
          <w:szCs w:val="28"/>
          <w:lang w:val="pt-PT"/>
        </w:rPr>
      </w:pPr>
      <w:r w:rsidRPr="00FB15E3">
        <w:rPr>
          <w:rFonts w:eastAsia="標楷體"/>
          <w:sz w:val="28"/>
          <w:szCs w:val="28"/>
          <w:lang w:val="pt-PT"/>
        </w:rPr>
        <w:t>司法假期，《司法組織綱要法》第</w:t>
      </w:r>
      <w:r w:rsidRPr="00FB15E3">
        <w:rPr>
          <w:rFonts w:eastAsia="標楷體"/>
          <w:sz w:val="28"/>
          <w:szCs w:val="28"/>
          <w:lang w:val="pt-PT"/>
        </w:rPr>
        <w:t>12</w:t>
      </w:r>
      <w:r w:rsidRPr="00FB15E3">
        <w:rPr>
          <w:rFonts w:eastAsia="標楷體"/>
          <w:sz w:val="28"/>
          <w:szCs w:val="28"/>
          <w:lang w:val="pt-PT"/>
        </w:rPr>
        <w:t>條規定。</w:t>
      </w:r>
    </w:p>
    <w:p w:rsidR="00FB15E3" w:rsidRPr="00FB15E3" w:rsidRDefault="00FB15E3" w:rsidP="002B323B">
      <w:pPr>
        <w:spacing w:beforeLines="50" w:before="180" w:line="460" w:lineRule="exact"/>
        <w:ind w:firstLine="420"/>
        <w:jc w:val="both"/>
        <w:rPr>
          <w:rFonts w:eastAsia="標楷體"/>
          <w:sz w:val="28"/>
          <w:szCs w:val="28"/>
          <w:lang w:val="pt-PT"/>
        </w:rPr>
      </w:pPr>
      <w:r w:rsidRPr="00FB15E3">
        <w:rPr>
          <w:rFonts w:eastAsia="標楷體"/>
          <w:sz w:val="28"/>
          <w:szCs w:val="28"/>
          <w:lang w:val="pt-PT"/>
        </w:rPr>
        <w:tab/>
      </w:r>
      <w:r w:rsidRPr="00FB15E3">
        <w:rPr>
          <w:rFonts w:eastAsia="標楷體"/>
          <w:sz w:val="28"/>
          <w:szCs w:val="28"/>
          <w:lang w:val="pt-PT"/>
        </w:rPr>
        <w:t>《民事訴訟法典》第</w:t>
      </w:r>
      <w:r w:rsidRPr="00FB15E3">
        <w:rPr>
          <w:rFonts w:eastAsia="標楷體"/>
          <w:sz w:val="28"/>
          <w:szCs w:val="28"/>
          <w:lang w:val="pt-PT"/>
        </w:rPr>
        <w:t>95</w:t>
      </w:r>
      <w:r w:rsidRPr="00FB15E3">
        <w:rPr>
          <w:rFonts w:eastAsia="標楷體"/>
          <w:sz w:val="28"/>
          <w:szCs w:val="28"/>
          <w:lang w:val="pt-PT"/>
        </w:rPr>
        <w:t>條第</w:t>
      </w:r>
      <w:r w:rsidRPr="00FB15E3">
        <w:rPr>
          <w:rFonts w:eastAsia="標楷體"/>
          <w:sz w:val="28"/>
          <w:szCs w:val="28"/>
          <w:lang w:val="pt-PT"/>
        </w:rPr>
        <w:t>3</w:t>
      </w:r>
      <w:r w:rsidRPr="00FB15E3">
        <w:rPr>
          <w:rFonts w:eastAsia="標楷體"/>
          <w:sz w:val="28"/>
          <w:szCs w:val="28"/>
          <w:lang w:val="pt-PT"/>
        </w:rPr>
        <w:t>款：行為期間過後，作出行為之權利即消滅，但出現合理障礙之情況者除外。</w:t>
      </w:r>
    </w:p>
    <w:p w:rsidR="00FB15E3" w:rsidRPr="00FB15E3" w:rsidRDefault="00FB15E3" w:rsidP="002B323B">
      <w:pPr>
        <w:spacing w:beforeLines="50" w:before="180" w:line="460" w:lineRule="exact"/>
        <w:ind w:firstLine="420"/>
        <w:jc w:val="both"/>
        <w:rPr>
          <w:rFonts w:eastAsia="標楷體"/>
          <w:sz w:val="28"/>
          <w:szCs w:val="28"/>
          <w:lang w:val="pt-PT"/>
        </w:rPr>
      </w:pPr>
      <w:r w:rsidRPr="00FB15E3">
        <w:rPr>
          <w:rFonts w:eastAsia="標楷體"/>
          <w:sz w:val="28"/>
          <w:szCs w:val="28"/>
          <w:lang w:val="pt-PT"/>
        </w:rPr>
        <w:tab/>
      </w:r>
      <w:r w:rsidRPr="00FB15E3">
        <w:rPr>
          <w:rFonts w:eastAsia="標楷體"/>
          <w:sz w:val="28"/>
          <w:szCs w:val="28"/>
          <w:lang w:val="pt-PT"/>
        </w:rPr>
        <w:t>《民事訴訟法典》第</w:t>
      </w:r>
      <w:r w:rsidRPr="00FB15E3">
        <w:rPr>
          <w:rFonts w:eastAsia="標楷體"/>
          <w:sz w:val="28"/>
          <w:szCs w:val="28"/>
          <w:lang w:val="pt-PT"/>
        </w:rPr>
        <w:t>100</w:t>
      </w:r>
      <w:r w:rsidRPr="00FB15E3">
        <w:rPr>
          <w:rFonts w:eastAsia="標楷體"/>
          <w:sz w:val="28"/>
          <w:szCs w:val="28"/>
          <w:lang w:val="pt-PT"/>
        </w:rPr>
        <w:t>條規定，訴辯書狀、聲請書、答覆得以掛號信郵寄予辦事處或以圖文傳真方式傳送予辦事處，且以郵政掛號日及辦事處收到圖文傳真之時視為作出訴訟行為之日。</w:t>
      </w:r>
    </w:p>
    <w:p w:rsidR="005B5BB9" w:rsidRDefault="00FB15E3" w:rsidP="002B323B">
      <w:pPr>
        <w:spacing w:beforeLines="50" w:before="180" w:line="460" w:lineRule="exact"/>
        <w:ind w:firstLine="420"/>
        <w:jc w:val="both"/>
        <w:rPr>
          <w:rFonts w:eastAsia="標楷體"/>
          <w:sz w:val="28"/>
          <w:szCs w:val="28"/>
          <w:lang w:val="pt-PT"/>
        </w:rPr>
      </w:pPr>
      <w:r w:rsidRPr="00FB15E3">
        <w:rPr>
          <w:rFonts w:eastAsia="標楷體"/>
          <w:sz w:val="28"/>
          <w:szCs w:val="28"/>
          <w:lang w:val="pt-PT"/>
        </w:rPr>
        <w:lastRenderedPageBreak/>
        <w:t>依照第</w:t>
      </w:r>
      <w:r w:rsidRPr="00FB15E3">
        <w:rPr>
          <w:rFonts w:eastAsia="標楷體"/>
          <w:sz w:val="28"/>
          <w:szCs w:val="28"/>
          <w:lang w:val="pt-PT"/>
        </w:rPr>
        <w:t>100</w:t>
      </w:r>
      <w:r w:rsidRPr="00FB15E3">
        <w:rPr>
          <w:rFonts w:eastAsia="標楷體"/>
          <w:sz w:val="28"/>
          <w:szCs w:val="28"/>
          <w:lang w:val="pt-PT"/>
        </w:rPr>
        <w:t>條第</w:t>
      </w:r>
      <w:r w:rsidRPr="00FB15E3">
        <w:rPr>
          <w:rFonts w:eastAsia="標楷體"/>
          <w:sz w:val="28"/>
          <w:szCs w:val="28"/>
          <w:lang w:val="pt-PT"/>
        </w:rPr>
        <w:t>1</w:t>
      </w:r>
      <w:r w:rsidRPr="00FB15E3">
        <w:rPr>
          <w:rFonts w:eastAsia="標楷體"/>
          <w:sz w:val="28"/>
          <w:szCs w:val="28"/>
          <w:lang w:val="pt-PT"/>
        </w:rPr>
        <w:t>款規定，起訴狀</w:t>
      </w:r>
      <w:r w:rsidRPr="00FB15E3">
        <w:rPr>
          <w:rFonts w:eastAsia="標楷體"/>
          <w:sz w:val="28"/>
          <w:szCs w:val="28"/>
          <w:lang w:val="pt-PT"/>
        </w:rPr>
        <w:t xml:space="preserve"> —— </w:t>
      </w:r>
      <w:r w:rsidRPr="00FB15E3">
        <w:rPr>
          <w:rFonts w:eastAsia="標楷體"/>
          <w:sz w:val="28"/>
          <w:szCs w:val="28"/>
          <w:lang w:val="pt-PT"/>
        </w:rPr>
        <w:t>如同其他訴辯書狀，聲請書以及答覆</w:t>
      </w:r>
      <w:r w:rsidRPr="00FB15E3">
        <w:rPr>
          <w:rFonts w:eastAsia="標楷體"/>
          <w:sz w:val="28"/>
          <w:szCs w:val="28"/>
          <w:lang w:val="pt-PT"/>
        </w:rPr>
        <w:t xml:space="preserve"> —— </w:t>
      </w:r>
      <w:r w:rsidRPr="00FB15E3">
        <w:rPr>
          <w:rFonts w:eastAsia="標楷體"/>
          <w:sz w:val="28"/>
          <w:szCs w:val="28"/>
          <w:lang w:val="pt-PT"/>
        </w:rPr>
        <w:t>可以透過掛號信郵遞，此時，郵遞掛號日視為作出訴訟行為日的時間。</w:t>
      </w:r>
    </w:p>
    <w:p w:rsidR="00FB15E3" w:rsidRPr="00FB15E3" w:rsidRDefault="00FB15E3" w:rsidP="002B323B">
      <w:pPr>
        <w:spacing w:beforeLines="50" w:before="180" w:line="460" w:lineRule="exact"/>
        <w:ind w:firstLine="420"/>
        <w:jc w:val="both"/>
        <w:rPr>
          <w:rFonts w:eastAsia="標楷體"/>
          <w:sz w:val="28"/>
          <w:szCs w:val="28"/>
          <w:lang w:val="pt-PT"/>
        </w:rPr>
      </w:pPr>
      <w:r w:rsidRPr="00FB15E3">
        <w:rPr>
          <w:rFonts w:eastAsia="標楷體"/>
          <w:sz w:val="28"/>
          <w:szCs w:val="28"/>
          <w:lang w:val="pt-PT"/>
        </w:rPr>
        <w:t>此外，起訴狀及雙方當事人的訴訟行為也可以透過圖文傳真（</w:t>
      </w:r>
      <w:r w:rsidRPr="00FB15E3">
        <w:rPr>
          <w:rFonts w:eastAsia="標楷體"/>
          <w:sz w:val="28"/>
          <w:szCs w:val="28"/>
          <w:lang w:val="pt-PT"/>
        </w:rPr>
        <w:t>fax</w:t>
      </w:r>
      <w:r w:rsidRPr="00FB15E3">
        <w:rPr>
          <w:rFonts w:eastAsia="標楷體"/>
          <w:sz w:val="28"/>
          <w:szCs w:val="28"/>
          <w:lang w:val="pt-PT"/>
        </w:rPr>
        <w:t>）予以傳送（第</w:t>
      </w:r>
      <w:r w:rsidRPr="00FB15E3">
        <w:rPr>
          <w:rFonts w:eastAsia="標楷體"/>
          <w:sz w:val="28"/>
          <w:szCs w:val="28"/>
          <w:lang w:val="pt-PT"/>
        </w:rPr>
        <w:t>100</w:t>
      </w:r>
      <w:r w:rsidRPr="00FB15E3">
        <w:rPr>
          <w:rFonts w:eastAsia="標楷體"/>
          <w:sz w:val="28"/>
          <w:szCs w:val="28"/>
          <w:lang w:val="pt-PT"/>
        </w:rPr>
        <w:t>條第</w:t>
      </w:r>
      <w:r w:rsidRPr="00FB15E3">
        <w:rPr>
          <w:rFonts w:eastAsia="標楷體"/>
          <w:sz w:val="28"/>
          <w:szCs w:val="28"/>
          <w:lang w:val="pt-PT"/>
        </w:rPr>
        <w:t>2</w:t>
      </w:r>
      <w:r w:rsidRPr="00FB15E3">
        <w:rPr>
          <w:rFonts w:eastAsia="標楷體"/>
          <w:sz w:val="28"/>
          <w:szCs w:val="28"/>
          <w:lang w:val="pt-PT"/>
        </w:rPr>
        <w:t>款），在此，當事人還可以在有關期間最後一天的</w:t>
      </w:r>
      <w:r w:rsidRPr="00FB15E3">
        <w:rPr>
          <w:rFonts w:eastAsia="標楷體"/>
          <w:sz w:val="28"/>
          <w:szCs w:val="28"/>
          <w:lang w:val="pt-PT"/>
        </w:rPr>
        <w:t>24</w:t>
      </w:r>
      <w:r w:rsidRPr="00FB15E3">
        <w:rPr>
          <w:rFonts w:eastAsia="標楷體"/>
          <w:sz w:val="28"/>
          <w:szCs w:val="28"/>
          <w:lang w:val="pt-PT"/>
        </w:rPr>
        <w:t>小時之前進行該等訴訟行為（</w:t>
      </w:r>
      <w:smartTag w:uri="urn:schemas-microsoft-com:office:smarttags" w:element="chsdate">
        <w:smartTagPr>
          <w:attr w:name="Year" w:val="2007"/>
          <w:attr w:name="Month" w:val="11"/>
          <w:attr w:name="Day" w:val="1"/>
          <w:attr w:name="IsLunarDate" w:val="False"/>
          <w:attr w:name="IsROCDate" w:val="False"/>
        </w:smartTagPr>
        <w:r w:rsidRPr="00FB15E3">
          <w:rPr>
            <w:rFonts w:eastAsia="標楷體"/>
            <w:sz w:val="28"/>
            <w:szCs w:val="28"/>
            <w:lang w:val="pt-PT"/>
          </w:rPr>
          <w:t>11</w:t>
        </w:r>
        <w:r w:rsidRPr="00FB15E3">
          <w:rPr>
            <w:rFonts w:eastAsia="標楷體"/>
            <w:sz w:val="28"/>
            <w:szCs w:val="28"/>
            <w:lang w:val="pt-PT"/>
          </w:rPr>
          <w:t>月</w:t>
        </w:r>
        <w:r w:rsidRPr="00FB15E3">
          <w:rPr>
            <w:rFonts w:eastAsia="標楷體"/>
            <w:sz w:val="28"/>
            <w:szCs w:val="28"/>
            <w:lang w:val="pt-PT"/>
          </w:rPr>
          <w:t>1</w:t>
        </w:r>
        <w:r w:rsidRPr="00FB15E3">
          <w:rPr>
            <w:rFonts w:eastAsia="標楷體"/>
            <w:sz w:val="28"/>
            <w:szCs w:val="28"/>
            <w:lang w:val="pt-PT"/>
          </w:rPr>
          <w:t>日</w:t>
        </w:r>
      </w:smartTag>
      <w:r w:rsidRPr="00FB15E3">
        <w:rPr>
          <w:rFonts w:eastAsia="標楷體"/>
          <w:sz w:val="28"/>
          <w:szCs w:val="28"/>
          <w:lang w:val="pt-PT"/>
        </w:rPr>
        <w:t>第</w:t>
      </w:r>
      <w:r w:rsidRPr="00FB15E3">
        <w:rPr>
          <w:rFonts w:eastAsia="標楷體"/>
          <w:sz w:val="28"/>
          <w:szCs w:val="28"/>
          <w:lang w:val="pt-PT"/>
        </w:rPr>
        <w:t>73/99/M</w:t>
      </w:r>
      <w:r w:rsidRPr="00FB15E3">
        <w:rPr>
          <w:rFonts w:eastAsia="標楷體"/>
          <w:sz w:val="28"/>
          <w:szCs w:val="28"/>
          <w:lang w:val="pt-PT"/>
        </w:rPr>
        <w:t>號法令第</w:t>
      </w:r>
      <w:r w:rsidRPr="00FB15E3">
        <w:rPr>
          <w:rFonts w:eastAsia="標楷體"/>
          <w:sz w:val="28"/>
          <w:szCs w:val="28"/>
          <w:lang w:val="pt-PT"/>
        </w:rPr>
        <w:t>1</w:t>
      </w:r>
      <w:r w:rsidRPr="00FB15E3">
        <w:rPr>
          <w:rFonts w:eastAsia="標楷體"/>
          <w:sz w:val="28"/>
          <w:szCs w:val="28"/>
          <w:lang w:val="pt-PT"/>
        </w:rPr>
        <w:t>條第</w:t>
      </w:r>
      <w:r w:rsidRPr="00FB15E3">
        <w:rPr>
          <w:rFonts w:eastAsia="標楷體"/>
          <w:sz w:val="28"/>
          <w:szCs w:val="28"/>
          <w:lang w:val="pt-PT"/>
        </w:rPr>
        <w:t>1</w:t>
      </w:r>
      <w:r w:rsidRPr="00FB15E3">
        <w:rPr>
          <w:rFonts w:eastAsia="標楷體"/>
          <w:sz w:val="28"/>
          <w:szCs w:val="28"/>
          <w:lang w:val="pt-PT"/>
        </w:rPr>
        <w:t>款）。但是，作為該等行為的有效條件，有關原件必須在圖文傳真的次日正常辦公時間結束前在相應的辦事處予以提交；此外，根據《民事訴訟法典》第</w:t>
      </w:r>
      <w:r w:rsidRPr="00FB15E3">
        <w:rPr>
          <w:rFonts w:eastAsia="標楷體"/>
          <w:sz w:val="28"/>
          <w:szCs w:val="28"/>
          <w:lang w:val="pt-PT"/>
        </w:rPr>
        <w:t>95</w:t>
      </w:r>
      <w:r w:rsidRPr="00FB15E3">
        <w:rPr>
          <w:rFonts w:eastAsia="標楷體"/>
          <w:sz w:val="28"/>
          <w:szCs w:val="28"/>
          <w:lang w:val="pt-PT"/>
        </w:rPr>
        <w:t>條規定，當事人還可以在隨後的</w:t>
      </w:r>
      <w:r w:rsidRPr="00FB15E3">
        <w:rPr>
          <w:rFonts w:eastAsia="標楷體"/>
          <w:sz w:val="28"/>
          <w:szCs w:val="28"/>
          <w:lang w:val="pt-PT"/>
        </w:rPr>
        <w:t>3</w:t>
      </w:r>
      <w:r w:rsidRPr="00FB15E3">
        <w:rPr>
          <w:rFonts w:eastAsia="標楷體"/>
          <w:sz w:val="28"/>
          <w:szCs w:val="28"/>
          <w:lang w:val="pt-PT"/>
        </w:rPr>
        <w:t>個工作日內提交有關文書（第</w:t>
      </w:r>
      <w:r w:rsidRPr="00FB15E3">
        <w:rPr>
          <w:rFonts w:eastAsia="標楷體"/>
          <w:sz w:val="28"/>
          <w:szCs w:val="28"/>
          <w:lang w:val="pt-PT"/>
        </w:rPr>
        <w:t>73/99/M</w:t>
      </w:r>
      <w:r w:rsidRPr="00FB15E3">
        <w:rPr>
          <w:rFonts w:eastAsia="標楷體"/>
          <w:sz w:val="28"/>
          <w:szCs w:val="28"/>
          <w:lang w:val="pt-PT"/>
        </w:rPr>
        <w:t>號法令第</w:t>
      </w:r>
      <w:r w:rsidRPr="00FB15E3">
        <w:rPr>
          <w:rFonts w:eastAsia="標楷體"/>
          <w:sz w:val="28"/>
          <w:szCs w:val="28"/>
          <w:lang w:val="pt-PT"/>
        </w:rPr>
        <w:t>2</w:t>
      </w:r>
      <w:r w:rsidRPr="00FB15E3">
        <w:rPr>
          <w:rFonts w:eastAsia="標楷體"/>
          <w:sz w:val="28"/>
          <w:szCs w:val="28"/>
          <w:lang w:val="pt-PT"/>
        </w:rPr>
        <w:t>條第</w:t>
      </w:r>
      <w:r w:rsidRPr="00FB15E3">
        <w:rPr>
          <w:rFonts w:eastAsia="標楷體"/>
          <w:sz w:val="28"/>
          <w:szCs w:val="28"/>
          <w:lang w:val="pt-PT"/>
        </w:rPr>
        <w:t>2</w:t>
      </w:r>
      <w:r w:rsidRPr="00FB15E3">
        <w:rPr>
          <w:rFonts w:eastAsia="標楷體"/>
          <w:sz w:val="28"/>
          <w:szCs w:val="28"/>
          <w:lang w:val="pt-PT"/>
        </w:rPr>
        <w:t>款和第</w:t>
      </w:r>
      <w:r w:rsidRPr="00FB15E3">
        <w:rPr>
          <w:rFonts w:eastAsia="標楷體"/>
          <w:sz w:val="28"/>
          <w:szCs w:val="28"/>
          <w:lang w:val="pt-PT"/>
        </w:rPr>
        <w:t>3</w:t>
      </w:r>
      <w:r w:rsidRPr="00FB15E3">
        <w:rPr>
          <w:rFonts w:eastAsia="標楷體"/>
          <w:sz w:val="28"/>
          <w:szCs w:val="28"/>
          <w:lang w:val="pt-PT"/>
        </w:rPr>
        <w:t>款規定）。</w:t>
      </w:r>
    </w:p>
    <w:p w:rsidR="005B5BB9" w:rsidRDefault="005B5BB9" w:rsidP="002B323B">
      <w:pPr>
        <w:spacing w:beforeLines="50" w:before="180" w:line="460" w:lineRule="exact"/>
        <w:ind w:firstLine="420"/>
        <w:jc w:val="both"/>
        <w:rPr>
          <w:rFonts w:ascii="新細明體" w:hAnsi="新細明體"/>
          <w:sz w:val="28"/>
          <w:szCs w:val="28"/>
        </w:rPr>
      </w:pPr>
      <w:r w:rsidRPr="002D5974">
        <w:rPr>
          <w:rFonts w:ascii="新細明體" w:hAnsi="新細明體" w:hint="eastAsia"/>
          <w:sz w:val="28"/>
          <w:szCs w:val="28"/>
        </w:rPr>
        <w:t>刑事案件</w:t>
      </w:r>
      <w:r>
        <w:rPr>
          <w:rFonts w:ascii="新細明體" w:hAnsi="新細明體" w:hint="eastAsia"/>
          <w:sz w:val="28"/>
          <w:szCs w:val="28"/>
        </w:rPr>
        <w:t>：</w:t>
      </w:r>
    </w:p>
    <w:p w:rsidR="005B5BB9" w:rsidRPr="002D5974" w:rsidRDefault="005B5BB9" w:rsidP="002B323B">
      <w:pPr>
        <w:spacing w:beforeLines="50" w:before="180" w:line="460" w:lineRule="exact"/>
        <w:ind w:firstLine="480"/>
        <w:jc w:val="both"/>
        <w:rPr>
          <w:rFonts w:eastAsia="標楷體"/>
          <w:sz w:val="28"/>
          <w:szCs w:val="28"/>
        </w:rPr>
      </w:pPr>
      <w:r w:rsidRPr="002D5974">
        <w:rPr>
          <w:rFonts w:eastAsia="標楷體" w:hint="eastAsia"/>
          <w:sz w:val="28"/>
          <w:szCs w:val="28"/>
        </w:rPr>
        <w:t>不適用民事程序中關於罰款的規定，亦不適用雙方協議延長訴訟期間的規定。</w:t>
      </w:r>
    </w:p>
    <w:p w:rsidR="005B5BB9" w:rsidRDefault="005B5BB9" w:rsidP="002B323B">
      <w:pPr>
        <w:spacing w:beforeLines="50" w:before="180" w:line="460" w:lineRule="exact"/>
        <w:ind w:firstLine="420"/>
        <w:jc w:val="both"/>
        <w:rPr>
          <w:rFonts w:eastAsia="標楷體" w:hAnsi="標楷體"/>
          <w:sz w:val="28"/>
          <w:szCs w:val="28"/>
        </w:rPr>
      </w:pPr>
      <w:r>
        <w:rPr>
          <w:rFonts w:eastAsia="標楷體" w:hAnsi="標楷體" w:hint="eastAsia"/>
          <w:sz w:val="28"/>
          <w:szCs w:val="28"/>
          <w:lang w:eastAsia="zh-HK"/>
        </w:rPr>
        <w:t>此外，</w:t>
      </w:r>
      <w:r w:rsidRPr="002D5974">
        <w:rPr>
          <w:rFonts w:eastAsia="標楷體" w:hAnsi="標楷體"/>
          <w:sz w:val="28"/>
          <w:szCs w:val="28"/>
        </w:rPr>
        <w:t>《民事訴訟法典》</w:t>
      </w:r>
      <w:r w:rsidRPr="002D5974">
        <w:rPr>
          <w:rFonts w:eastAsia="標楷體" w:hAnsi="標楷體" w:hint="eastAsia"/>
          <w:sz w:val="28"/>
          <w:szCs w:val="28"/>
        </w:rPr>
        <w:t>第</w:t>
      </w:r>
      <w:r w:rsidRPr="002D5974">
        <w:rPr>
          <w:rFonts w:eastAsia="標楷體" w:hAnsi="標楷體" w:hint="eastAsia"/>
          <w:sz w:val="28"/>
          <w:szCs w:val="28"/>
        </w:rPr>
        <w:t>199</w:t>
      </w:r>
      <w:r w:rsidRPr="002D5974">
        <w:rPr>
          <w:rFonts w:eastAsia="標楷體" w:hAnsi="標楷體" w:hint="eastAsia"/>
          <w:sz w:val="28"/>
          <w:szCs w:val="28"/>
        </w:rPr>
        <w:t>條所指的中間期間，是否適用於刑事案件？可參見中級法院於第</w:t>
      </w:r>
      <w:r w:rsidRPr="002D5974">
        <w:rPr>
          <w:rFonts w:eastAsia="標楷體" w:hAnsi="標楷體" w:hint="eastAsia"/>
          <w:sz w:val="28"/>
          <w:szCs w:val="28"/>
        </w:rPr>
        <w:t>809/2012</w:t>
      </w:r>
      <w:r w:rsidRPr="002D5974">
        <w:rPr>
          <w:rFonts w:eastAsia="標楷體" w:hAnsi="標楷體" w:hint="eastAsia"/>
          <w:sz w:val="28"/>
          <w:szCs w:val="28"/>
        </w:rPr>
        <w:t>號上訴卷宗所作出的裁判（</w:t>
      </w:r>
      <w:r w:rsidRPr="002D5974">
        <w:rPr>
          <w:rFonts w:eastAsia="標楷體" w:hAnsi="標楷體" w:hint="eastAsia"/>
          <w:sz w:val="28"/>
          <w:szCs w:val="28"/>
        </w:rPr>
        <w:t>2012</w:t>
      </w:r>
      <w:r w:rsidRPr="002D5974">
        <w:rPr>
          <w:rFonts w:eastAsia="標楷體" w:hAnsi="標楷體" w:hint="eastAsia"/>
          <w:sz w:val="28"/>
          <w:szCs w:val="28"/>
        </w:rPr>
        <w:t>年</w:t>
      </w:r>
      <w:r w:rsidRPr="002D5974">
        <w:rPr>
          <w:rFonts w:eastAsia="標楷體" w:hAnsi="標楷體" w:hint="eastAsia"/>
          <w:sz w:val="28"/>
          <w:szCs w:val="28"/>
        </w:rPr>
        <w:t>12</w:t>
      </w:r>
      <w:r w:rsidRPr="002D5974">
        <w:rPr>
          <w:rFonts w:eastAsia="標楷體" w:hAnsi="標楷體" w:hint="eastAsia"/>
          <w:sz w:val="28"/>
          <w:szCs w:val="28"/>
        </w:rPr>
        <w:t>月</w:t>
      </w:r>
      <w:r w:rsidRPr="002D5974">
        <w:rPr>
          <w:rFonts w:eastAsia="標楷體" w:hAnsi="標楷體" w:hint="eastAsia"/>
          <w:sz w:val="28"/>
          <w:szCs w:val="28"/>
        </w:rPr>
        <w:t>13</w:t>
      </w:r>
      <w:r w:rsidRPr="002D5974">
        <w:rPr>
          <w:rFonts w:eastAsia="標楷體" w:hAnsi="標楷體" w:hint="eastAsia"/>
          <w:sz w:val="28"/>
          <w:szCs w:val="28"/>
        </w:rPr>
        <w:t>日）。</w:t>
      </w:r>
    </w:p>
    <w:p w:rsidR="005B5BB9" w:rsidRDefault="005B5BB9" w:rsidP="002B323B">
      <w:pPr>
        <w:spacing w:beforeLines="50" w:before="180" w:line="460" w:lineRule="exact"/>
        <w:ind w:firstLine="420"/>
        <w:jc w:val="both"/>
        <w:rPr>
          <w:rFonts w:eastAsia="標楷體" w:hAnsi="標楷體"/>
          <w:sz w:val="28"/>
          <w:szCs w:val="28"/>
        </w:rPr>
      </w:pPr>
      <w:r w:rsidRPr="002D5974">
        <w:rPr>
          <w:rFonts w:eastAsia="標楷體" w:hAnsi="標楷體" w:hint="eastAsia"/>
          <w:sz w:val="28"/>
          <w:szCs w:val="28"/>
        </w:rPr>
        <w:t>合理障礙，見</w:t>
      </w:r>
      <w:r w:rsidRPr="002D5974">
        <w:rPr>
          <w:rFonts w:eastAsia="標楷體" w:hAnsi="標楷體"/>
          <w:sz w:val="28"/>
          <w:szCs w:val="28"/>
        </w:rPr>
        <w:t>《民事訴訟法典》</w:t>
      </w:r>
      <w:r w:rsidRPr="002D5974">
        <w:rPr>
          <w:rFonts w:eastAsia="標楷體" w:hAnsi="標楷體" w:hint="eastAsia"/>
          <w:sz w:val="28"/>
          <w:szCs w:val="28"/>
        </w:rPr>
        <w:t>第</w:t>
      </w:r>
      <w:r w:rsidRPr="002D5974">
        <w:rPr>
          <w:rFonts w:eastAsia="標楷體" w:hAnsi="標楷體" w:hint="eastAsia"/>
          <w:sz w:val="28"/>
          <w:szCs w:val="28"/>
        </w:rPr>
        <w:t>96</w:t>
      </w:r>
      <w:r w:rsidRPr="002D5974">
        <w:rPr>
          <w:rFonts w:eastAsia="標楷體" w:hAnsi="標楷體" w:hint="eastAsia"/>
          <w:sz w:val="28"/>
          <w:szCs w:val="28"/>
        </w:rPr>
        <w:t>條。</w:t>
      </w:r>
    </w:p>
    <w:p w:rsidR="005B5BB9" w:rsidRDefault="005B5BB9" w:rsidP="002B323B">
      <w:pPr>
        <w:spacing w:beforeLines="50" w:before="180" w:line="460" w:lineRule="exact"/>
        <w:ind w:firstLine="420"/>
        <w:jc w:val="both"/>
        <w:rPr>
          <w:rFonts w:eastAsia="標楷體" w:hAnsi="標楷體"/>
          <w:sz w:val="28"/>
          <w:szCs w:val="28"/>
        </w:rPr>
      </w:pPr>
      <w:r w:rsidRPr="002D5974">
        <w:rPr>
          <w:rFonts w:eastAsia="標楷體" w:hAnsi="標楷體" w:hint="eastAsia"/>
          <w:sz w:val="28"/>
          <w:szCs w:val="28"/>
        </w:rPr>
        <w:t>假設當事人／嫌犯及其律師於不同日期接受到法院的通知，則作出相關訴訟行為之期間以最後者計算。</w:t>
      </w:r>
    </w:p>
    <w:p w:rsidR="00AB1AD4" w:rsidRDefault="00AB1AD4" w:rsidP="00AB1AD4">
      <w:pPr>
        <w:spacing w:beforeLines="50" w:before="180" w:line="460" w:lineRule="exact"/>
        <w:jc w:val="center"/>
        <w:rPr>
          <w:rFonts w:eastAsia="標楷體" w:hAnsi="標楷體"/>
          <w:sz w:val="28"/>
          <w:szCs w:val="28"/>
        </w:rPr>
      </w:pPr>
      <w:proofErr w:type="gramStart"/>
      <w:r>
        <w:rPr>
          <w:rFonts w:eastAsia="標楷體" w:hAnsi="標楷體" w:hint="eastAsia"/>
          <w:sz w:val="28"/>
          <w:szCs w:val="28"/>
        </w:rPr>
        <w:t>＊＊＊</w:t>
      </w:r>
      <w:proofErr w:type="gramEnd"/>
    </w:p>
    <w:p w:rsidR="00AB1AD4" w:rsidRPr="00AB1AD4" w:rsidRDefault="00AB1AD4" w:rsidP="002B323B">
      <w:pPr>
        <w:spacing w:beforeLines="50" w:before="180" w:line="460" w:lineRule="exact"/>
        <w:ind w:firstLine="420"/>
        <w:jc w:val="both"/>
        <w:rPr>
          <w:rFonts w:asciiTheme="minorEastAsia" w:eastAsiaTheme="minorEastAsia" w:hAnsiTheme="minorEastAsia"/>
          <w:sz w:val="28"/>
          <w:szCs w:val="28"/>
        </w:rPr>
      </w:pPr>
      <w:r>
        <w:rPr>
          <w:rFonts w:asciiTheme="minorEastAsia" w:eastAsiaTheme="minorEastAsia" w:hAnsiTheme="minorEastAsia" w:hint="eastAsia"/>
          <w:sz w:val="28"/>
          <w:szCs w:val="28"/>
        </w:rPr>
        <w:t>參考資料：</w:t>
      </w:r>
    </w:p>
    <w:p w:rsidR="00AB1AD4" w:rsidRPr="00AB1AD4" w:rsidRDefault="00AB1AD4" w:rsidP="00AB1AD4">
      <w:pPr>
        <w:pStyle w:val="ae"/>
        <w:numPr>
          <w:ilvl w:val="0"/>
          <w:numId w:val="16"/>
        </w:numPr>
        <w:spacing w:beforeLines="50" w:before="180" w:line="460" w:lineRule="exact"/>
        <w:ind w:leftChars="0"/>
        <w:jc w:val="both"/>
        <w:rPr>
          <w:rFonts w:eastAsia="標楷體" w:hAnsi="標楷體"/>
          <w:sz w:val="28"/>
          <w:szCs w:val="28"/>
        </w:rPr>
      </w:pPr>
      <w:r w:rsidRPr="00AB1AD4">
        <w:rPr>
          <w:rFonts w:eastAsia="標楷體" w:hAnsi="標楷體"/>
          <w:sz w:val="28"/>
          <w:szCs w:val="28"/>
        </w:rPr>
        <w:t>《基本法》</w:t>
      </w:r>
    </w:p>
    <w:p w:rsidR="00AB1AD4" w:rsidRDefault="00AB1AD4" w:rsidP="00AB1AD4">
      <w:pPr>
        <w:pStyle w:val="ae"/>
        <w:numPr>
          <w:ilvl w:val="0"/>
          <w:numId w:val="16"/>
        </w:numPr>
        <w:spacing w:beforeLines="50" w:before="180" w:line="460" w:lineRule="exact"/>
        <w:ind w:leftChars="0"/>
        <w:jc w:val="both"/>
        <w:rPr>
          <w:rFonts w:eastAsia="標楷體" w:hAnsi="標楷體"/>
          <w:sz w:val="28"/>
          <w:szCs w:val="28"/>
        </w:rPr>
      </w:pPr>
      <w:r w:rsidRPr="002D5974">
        <w:rPr>
          <w:rFonts w:eastAsia="標楷體" w:hAnsi="標楷體"/>
          <w:sz w:val="28"/>
          <w:szCs w:val="28"/>
        </w:rPr>
        <w:lastRenderedPageBreak/>
        <w:t>《民事訴訟法典》</w:t>
      </w:r>
    </w:p>
    <w:p w:rsidR="00AB1AD4" w:rsidRDefault="00AB1AD4" w:rsidP="00AB1AD4">
      <w:pPr>
        <w:pStyle w:val="ae"/>
        <w:numPr>
          <w:ilvl w:val="0"/>
          <w:numId w:val="16"/>
        </w:numPr>
        <w:spacing w:beforeLines="50" w:before="180" w:line="460" w:lineRule="exact"/>
        <w:ind w:leftChars="0"/>
        <w:jc w:val="both"/>
        <w:rPr>
          <w:rFonts w:eastAsia="標楷體" w:hAnsi="標楷體"/>
          <w:sz w:val="28"/>
          <w:szCs w:val="28"/>
        </w:rPr>
      </w:pPr>
      <w:r w:rsidRPr="002D5974">
        <w:rPr>
          <w:rFonts w:eastAsia="標楷體" w:hAnsi="標楷體"/>
          <w:sz w:val="28"/>
          <w:szCs w:val="28"/>
        </w:rPr>
        <w:t>《</w:t>
      </w:r>
      <w:r>
        <w:rPr>
          <w:rFonts w:eastAsia="標楷體" w:hAnsi="標楷體"/>
          <w:sz w:val="28"/>
          <w:szCs w:val="28"/>
        </w:rPr>
        <w:t>刑</w:t>
      </w:r>
      <w:r w:rsidRPr="002D5974">
        <w:rPr>
          <w:rFonts w:eastAsia="標楷體" w:hAnsi="標楷體"/>
          <w:sz w:val="28"/>
          <w:szCs w:val="28"/>
        </w:rPr>
        <w:t>事訴訟法典》</w:t>
      </w:r>
    </w:p>
    <w:p w:rsidR="00AB1AD4" w:rsidRDefault="00AB1AD4" w:rsidP="00AB1AD4">
      <w:pPr>
        <w:pStyle w:val="ae"/>
        <w:numPr>
          <w:ilvl w:val="0"/>
          <w:numId w:val="16"/>
        </w:numPr>
        <w:spacing w:beforeLines="50" w:before="180" w:line="460" w:lineRule="exact"/>
        <w:ind w:leftChars="0"/>
        <w:jc w:val="both"/>
        <w:rPr>
          <w:rFonts w:eastAsia="標楷體" w:hAnsi="標楷體"/>
          <w:sz w:val="28"/>
          <w:szCs w:val="28"/>
        </w:rPr>
      </w:pPr>
      <w:r w:rsidRPr="002D5974">
        <w:rPr>
          <w:rFonts w:eastAsia="標楷體" w:hAnsi="標楷體"/>
          <w:sz w:val="28"/>
          <w:szCs w:val="28"/>
        </w:rPr>
        <w:t>《</w:t>
      </w:r>
      <w:r>
        <w:rPr>
          <w:rFonts w:eastAsia="標楷體" w:hAnsi="標楷體"/>
          <w:sz w:val="28"/>
          <w:szCs w:val="28"/>
        </w:rPr>
        <w:t>司法組織綱要法</w:t>
      </w:r>
      <w:r w:rsidRPr="002D5974">
        <w:rPr>
          <w:rFonts w:eastAsia="標楷體" w:hAnsi="標楷體"/>
          <w:sz w:val="28"/>
          <w:szCs w:val="28"/>
        </w:rPr>
        <w:t>》</w:t>
      </w:r>
    </w:p>
    <w:p w:rsidR="00AB1AD4" w:rsidRPr="00AB1AD4" w:rsidRDefault="00AB1AD4" w:rsidP="00AB1AD4">
      <w:pPr>
        <w:pStyle w:val="ae"/>
        <w:numPr>
          <w:ilvl w:val="0"/>
          <w:numId w:val="16"/>
        </w:numPr>
        <w:spacing w:beforeLines="50" w:before="180" w:line="460" w:lineRule="exact"/>
        <w:ind w:leftChars="0"/>
        <w:jc w:val="both"/>
        <w:rPr>
          <w:rFonts w:eastAsia="標楷體" w:hAnsi="標楷體"/>
          <w:sz w:val="28"/>
          <w:szCs w:val="28"/>
        </w:rPr>
      </w:pPr>
      <w:r w:rsidRPr="002D5974">
        <w:rPr>
          <w:rFonts w:eastAsia="標楷體" w:hAnsi="標楷體"/>
          <w:sz w:val="28"/>
          <w:szCs w:val="28"/>
        </w:rPr>
        <w:t>《</w:t>
      </w:r>
      <w:r>
        <w:rPr>
          <w:rFonts w:eastAsia="標楷體" w:hAnsi="標楷體"/>
          <w:sz w:val="28"/>
          <w:szCs w:val="28"/>
        </w:rPr>
        <w:t>司法官通則</w:t>
      </w:r>
      <w:r w:rsidRPr="002D5974">
        <w:rPr>
          <w:rFonts w:eastAsia="標楷體" w:hAnsi="標楷體"/>
          <w:sz w:val="28"/>
          <w:szCs w:val="28"/>
        </w:rPr>
        <w:t>》</w:t>
      </w:r>
    </w:p>
    <w:p w:rsidR="005B5BB9" w:rsidRPr="005B5BB9" w:rsidRDefault="006C45D8" w:rsidP="002B323B">
      <w:pPr>
        <w:spacing w:beforeLines="50" w:before="180" w:line="460" w:lineRule="exact"/>
        <w:jc w:val="center"/>
        <w:rPr>
          <w:rFonts w:eastAsia="標楷體"/>
          <w:sz w:val="28"/>
          <w:szCs w:val="28"/>
        </w:rPr>
      </w:pPr>
      <w:r>
        <w:rPr>
          <w:rFonts w:eastAsia="標楷體" w:hint="eastAsia"/>
          <w:sz w:val="28"/>
          <w:szCs w:val="28"/>
        </w:rPr>
        <w:t>-//-</w:t>
      </w:r>
    </w:p>
    <w:p w:rsidR="00E66448" w:rsidRPr="002D5974" w:rsidRDefault="00E66448" w:rsidP="002B323B">
      <w:pPr>
        <w:spacing w:beforeLines="50" w:before="180" w:line="460" w:lineRule="exact"/>
        <w:jc w:val="both"/>
        <w:rPr>
          <w:sz w:val="28"/>
          <w:szCs w:val="28"/>
          <w:lang w:val="pt-PT"/>
        </w:rPr>
      </w:pPr>
    </w:p>
    <w:sectPr w:rsidR="00E66448" w:rsidRPr="002D5974" w:rsidSect="00406FB0">
      <w:footerReference w:type="default" r:id="rId9"/>
      <w:pgSz w:w="11906" w:h="16838"/>
      <w:pgMar w:top="3055" w:right="1646" w:bottom="197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3F1" w:rsidRDefault="00FB73F1">
      <w:r>
        <w:separator/>
      </w:r>
    </w:p>
  </w:endnote>
  <w:endnote w:type="continuationSeparator" w:id="0">
    <w:p w:rsidR="00FB73F1" w:rsidRDefault="00FB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F4" w:rsidRDefault="00753BF4" w:rsidP="00CA22F6">
    <w:pPr>
      <w:pStyle w:val="a6"/>
      <w:jc w:val="center"/>
    </w:pPr>
    <w:r>
      <w:rPr>
        <w:rStyle w:val="a7"/>
        <w:rFonts w:hint="eastAsia"/>
      </w:rPr>
      <w:t>-</w:t>
    </w:r>
    <w:r>
      <w:rPr>
        <w:rStyle w:val="a7"/>
      </w:rPr>
      <w:fldChar w:fldCharType="begin"/>
    </w:r>
    <w:r>
      <w:rPr>
        <w:rStyle w:val="a7"/>
      </w:rPr>
      <w:instrText xml:space="preserve"> PAGE </w:instrText>
    </w:r>
    <w:r>
      <w:rPr>
        <w:rStyle w:val="a7"/>
      </w:rPr>
      <w:fldChar w:fldCharType="separate"/>
    </w:r>
    <w:r w:rsidR="001D6DCE">
      <w:rPr>
        <w:rStyle w:val="a7"/>
        <w:noProof/>
      </w:rPr>
      <w:t>17</w:t>
    </w:r>
    <w:r>
      <w:rPr>
        <w:rStyle w:val="a7"/>
      </w:rPr>
      <w:fldChar w:fldCharType="end"/>
    </w:r>
    <w:r>
      <w:rPr>
        <w:rStyle w:val="a7"/>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3F1" w:rsidRDefault="00FB73F1">
      <w:r>
        <w:separator/>
      </w:r>
    </w:p>
  </w:footnote>
  <w:footnote w:type="continuationSeparator" w:id="0">
    <w:p w:rsidR="00FB73F1" w:rsidRDefault="00FB73F1">
      <w:r>
        <w:continuationSeparator/>
      </w:r>
    </w:p>
  </w:footnote>
  <w:footnote w:id="1">
    <w:p w:rsidR="00CC1AB2" w:rsidRDefault="00CC1AB2">
      <w:pPr>
        <w:pStyle w:val="ab"/>
      </w:pPr>
      <w:r>
        <w:rPr>
          <w:rStyle w:val="ac"/>
        </w:rPr>
        <w:footnoteRef/>
      </w:r>
      <w:r>
        <w:t xml:space="preserve"> </w:t>
      </w:r>
      <w:r w:rsidR="004165DF">
        <w:rPr>
          <w:rFonts w:hint="eastAsia"/>
          <w:lang w:eastAsia="zh-HK"/>
        </w:rPr>
        <w:t>下文中凡提及第</w:t>
      </w:r>
      <w:r w:rsidR="004165DF">
        <w:rPr>
          <w:rFonts w:hint="eastAsia"/>
        </w:rPr>
        <w:t>9/199</w:t>
      </w:r>
      <w:r w:rsidR="004165DF">
        <w:rPr>
          <w:rFonts w:hint="eastAsia"/>
          <w:lang w:eastAsia="zh-HK"/>
        </w:rPr>
        <w:t>9</w:t>
      </w:r>
      <w:r w:rsidR="004165DF">
        <w:rPr>
          <w:rFonts w:hint="eastAsia"/>
          <w:lang w:eastAsia="zh-HK"/>
        </w:rPr>
        <w:t>號法律或</w:t>
      </w:r>
      <w:r w:rsidR="004165DF">
        <w:rPr>
          <w:rFonts w:ascii="新細明體" w:hAnsi="新細明體" w:hint="eastAsia"/>
          <w:lang w:eastAsia="zh-HK"/>
        </w:rPr>
        <w:t>《司法組織綱要法》，</w:t>
      </w:r>
      <w:r>
        <w:rPr>
          <w:rFonts w:hint="eastAsia"/>
          <w:lang w:eastAsia="zh-HK"/>
        </w:rPr>
        <w:t>也</w:t>
      </w:r>
      <w:r w:rsidR="004165DF">
        <w:rPr>
          <w:rFonts w:hint="eastAsia"/>
          <w:lang w:eastAsia="zh-HK"/>
        </w:rPr>
        <w:t>應</w:t>
      </w:r>
      <w:r>
        <w:rPr>
          <w:rFonts w:hint="eastAsia"/>
          <w:lang w:eastAsia="zh-HK"/>
        </w:rPr>
        <w:t>參見</w:t>
      </w:r>
      <w:r w:rsidR="0014619C" w:rsidRPr="0014619C">
        <w:rPr>
          <w:rFonts w:eastAsiaTheme="minorEastAsia"/>
          <w:lang w:val="pt-PT" w:eastAsia="zh-HK"/>
        </w:rPr>
        <w:t>第</w:t>
      </w:r>
      <w:r w:rsidR="0014619C" w:rsidRPr="0014619C">
        <w:rPr>
          <w:rFonts w:eastAsiaTheme="minorEastAsia"/>
          <w:lang w:val="pt-PT" w:eastAsia="zh-HK"/>
        </w:rPr>
        <w:t>7/2004</w:t>
      </w:r>
      <w:r w:rsidR="0014619C" w:rsidRPr="0014619C">
        <w:rPr>
          <w:rFonts w:eastAsiaTheme="minorEastAsia"/>
          <w:lang w:val="pt-PT" w:eastAsia="zh-HK"/>
        </w:rPr>
        <w:t>號法律、</w:t>
      </w:r>
      <w:r w:rsidR="0014619C" w:rsidRPr="0014619C">
        <w:rPr>
          <w:rFonts w:eastAsiaTheme="minorEastAsia"/>
          <w:lang w:val="pt-PT"/>
        </w:rPr>
        <w:t>第</w:t>
      </w:r>
      <w:r w:rsidR="0014619C" w:rsidRPr="0014619C">
        <w:rPr>
          <w:rFonts w:eastAsiaTheme="minorEastAsia"/>
          <w:lang w:val="pt-PT"/>
        </w:rPr>
        <w:t>9/2004</w:t>
      </w:r>
      <w:r w:rsidR="0014619C" w:rsidRPr="0014619C">
        <w:rPr>
          <w:rFonts w:eastAsiaTheme="minorEastAsia"/>
          <w:lang w:val="pt-PT"/>
        </w:rPr>
        <w:t>號法律、</w:t>
      </w:r>
      <w:r w:rsidR="0014619C" w:rsidRPr="0014619C">
        <w:rPr>
          <w:rFonts w:eastAsiaTheme="minorEastAsia"/>
          <w:lang w:val="pt-PT" w:eastAsia="zh-HK"/>
        </w:rPr>
        <w:t>第</w:t>
      </w:r>
      <w:r w:rsidR="0014619C" w:rsidRPr="0014619C">
        <w:rPr>
          <w:rFonts w:eastAsiaTheme="minorEastAsia"/>
          <w:lang w:val="pt-PT"/>
        </w:rPr>
        <w:t>9/2009</w:t>
      </w:r>
      <w:r w:rsidR="0014619C" w:rsidRPr="0014619C">
        <w:rPr>
          <w:rFonts w:eastAsiaTheme="minorEastAsia"/>
          <w:lang w:val="pt-PT" w:eastAsia="zh-HK"/>
        </w:rPr>
        <w:t>號法律及第</w:t>
      </w:r>
      <w:r w:rsidR="0014619C" w:rsidRPr="0014619C">
        <w:rPr>
          <w:rFonts w:eastAsiaTheme="minorEastAsia"/>
          <w:lang w:val="pt-PT" w:eastAsia="zh-HK"/>
        </w:rPr>
        <w:t>4/2019</w:t>
      </w:r>
      <w:r w:rsidR="0014619C" w:rsidRPr="0014619C">
        <w:rPr>
          <w:rFonts w:eastAsiaTheme="minorEastAsia"/>
          <w:lang w:val="pt-PT" w:eastAsia="zh-HK"/>
        </w:rPr>
        <w:t>號法律</w:t>
      </w:r>
      <w:r w:rsidR="004165DF">
        <w:rPr>
          <w:rFonts w:hint="eastAsia"/>
          <w:lang w:eastAsia="zh-HK"/>
        </w:rPr>
        <w:t>所作的修改</w:t>
      </w:r>
      <w:r>
        <w:rPr>
          <w:rFonts w:hint="eastAsia"/>
          <w:lang w:eastAsia="zh-H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0135"/>
    <w:multiLevelType w:val="hybridMultilevel"/>
    <w:tmpl w:val="DB70E6C4"/>
    <w:lvl w:ilvl="0" w:tplc="79A051E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CC176D"/>
    <w:multiLevelType w:val="hybridMultilevel"/>
    <w:tmpl w:val="BA40BC76"/>
    <w:lvl w:ilvl="0" w:tplc="112E88B2">
      <w:start w:val="2012"/>
      <w:numFmt w:val="bullet"/>
      <w:lvlText w:val=""/>
      <w:lvlJc w:val="left"/>
      <w:pPr>
        <w:ind w:left="840" w:hanging="360"/>
      </w:pPr>
      <w:rPr>
        <w:rFonts w:ascii="Wingdings" w:eastAsia="標楷體" w:hAnsi="Wingding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EA30D86"/>
    <w:multiLevelType w:val="hybridMultilevel"/>
    <w:tmpl w:val="79C01B52"/>
    <w:lvl w:ilvl="0" w:tplc="B81697A8">
      <w:start w:val="1"/>
      <w:numFmt w:val="decimal"/>
      <w:lvlText w:val="%1)"/>
      <w:lvlJc w:val="left"/>
      <w:pPr>
        <w:tabs>
          <w:tab w:val="num" w:pos="1380"/>
        </w:tabs>
        <w:ind w:left="1380" w:hanging="9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344D3CCF"/>
    <w:multiLevelType w:val="hybridMultilevel"/>
    <w:tmpl w:val="9F144CE6"/>
    <w:lvl w:ilvl="0" w:tplc="4036B0B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5344FB1"/>
    <w:multiLevelType w:val="hybridMultilevel"/>
    <w:tmpl w:val="DEE6AD94"/>
    <w:lvl w:ilvl="0" w:tplc="F754F154">
      <w:start w:val="1"/>
      <w:numFmt w:val="decimal"/>
      <w:lvlText w:val="%1)"/>
      <w:lvlJc w:val="left"/>
      <w:pPr>
        <w:ind w:left="795" w:hanging="37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nsid w:val="39774586"/>
    <w:multiLevelType w:val="hybridMultilevel"/>
    <w:tmpl w:val="2D8C9C1E"/>
    <w:lvl w:ilvl="0" w:tplc="2884DC90">
      <w:start w:val="1"/>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42F90A7E"/>
    <w:multiLevelType w:val="hybridMultilevel"/>
    <w:tmpl w:val="B89010D2"/>
    <w:lvl w:ilvl="0" w:tplc="33C8F0CE">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7">
    <w:nsid w:val="4C872900"/>
    <w:multiLevelType w:val="hybridMultilevel"/>
    <w:tmpl w:val="FD0EADA4"/>
    <w:lvl w:ilvl="0" w:tplc="2A020082">
      <w:start w:val="1"/>
      <w:numFmt w:val="lowerLetter"/>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501904B0"/>
    <w:multiLevelType w:val="hybridMultilevel"/>
    <w:tmpl w:val="055E5B22"/>
    <w:lvl w:ilvl="0" w:tplc="E44E1D94">
      <w:start w:val="1"/>
      <w:numFmt w:val="decimal"/>
      <w:lvlText w:val="%1)"/>
      <w:lvlJc w:val="left"/>
      <w:pPr>
        <w:tabs>
          <w:tab w:val="num" w:pos="900"/>
        </w:tabs>
        <w:ind w:left="900" w:hanging="420"/>
      </w:pPr>
      <w:rPr>
        <w:rFonts w:asci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51671B4E"/>
    <w:multiLevelType w:val="hybridMultilevel"/>
    <w:tmpl w:val="A554052E"/>
    <w:lvl w:ilvl="0" w:tplc="5B30BBD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69AF304E"/>
    <w:multiLevelType w:val="hybridMultilevel"/>
    <w:tmpl w:val="CFB27158"/>
    <w:lvl w:ilvl="0" w:tplc="57386E0A">
      <w:start w:val="1"/>
      <w:numFmt w:val="decimal"/>
      <w:lvlText w:val="%1)"/>
      <w:lvlJc w:val="left"/>
      <w:pPr>
        <w:tabs>
          <w:tab w:val="num" w:pos="900"/>
        </w:tabs>
        <w:ind w:left="900" w:hanging="4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A9647BE"/>
    <w:multiLevelType w:val="hybridMultilevel"/>
    <w:tmpl w:val="985A2D9E"/>
    <w:lvl w:ilvl="0" w:tplc="B2BC7010">
      <w:start w:val="1"/>
      <w:numFmt w:val="decimal"/>
      <w:lvlText w:val="%1)"/>
      <w:lvlJc w:val="left"/>
      <w:pPr>
        <w:tabs>
          <w:tab w:val="num" w:pos="900"/>
        </w:tabs>
        <w:ind w:left="900" w:hanging="42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717E4FF5"/>
    <w:multiLevelType w:val="hybridMultilevel"/>
    <w:tmpl w:val="BDBC8F84"/>
    <w:lvl w:ilvl="0" w:tplc="0D8AEB20">
      <w:start w:val="1"/>
      <w:numFmt w:val="decimal"/>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2561964"/>
    <w:multiLevelType w:val="hybridMultilevel"/>
    <w:tmpl w:val="70DC3116"/>
    <w:lvl w:ilvl="0" w:tplc="A316FAA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DDD68C4"/>
    <w:multiLevelType w:val="hybridMultilevel"/>
    <w:tmpl w:val="7A90681E"/>
    <w:lvl w:ilvl="0" w:tplc="070E1CDC">
      <w:start w:val="1"/>
      <w:numFmt w:val="taiwaneseCountingThousand"/>
      <w:lvlText w:val="%1）"/>
      <w:lvlJc w:val="left"/>
      <w:pPr>
        <w:ind w:left="1484" w:hanging="1065"/>
      </w:pPr>
      <w:rPr>
        <w:rFonts w:hint="default"/>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15">
    <w:nsid w:val="7DE50CDE"/>
    <w:multiLevelType w:val="hybridMultilevel"/>
    <w:tmpl w:val="272C05C8"/>
    <w:lvl w:ilvl="0" w:tplc="6BD8CCB8">
      <w:start w:val="1"/>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9"/>
  </w:num>
  <w:num w:numId="3">
    <w:abstractNumId w:val="15"/>
  </w:num>
  <w:num w:numId="4">
    <w:abstractNumId w:val="7"/>
  </w:num>
  <w:num w:numId="5">
    <w:abstractNumId w:val="11"/>
  </w:num>
  <w:num w:numId="6">
    <w:abstractNumId w:val="8"/>
  </w:num>
  <w:num w:numId="7">
    <w:abstractNumId w:val="2"/>
  </w:num>
  <w:num w:numId="8">
    <w:abstractNumId w:val="10"/>
  </w:num>
  <w:num w:numId="9">
    <w:abstractNumId w:val="1"/>
  </w:num>
  <w:num w:numId="10">
    <w:abstractNumId w:val="12"/>
  </w:num>
  <w:num w:numId="11">
    <w:abstractNumId w:val="6"/>
  </w:num>
  <w:num w:numId="12">
    <w:abstractNumId w:val="0"/>
  </w:num>
  <w:num w:numId="13">
    <w:abstractNumId w:val="3"/>
  </w:num>
  <w:num w:numId="14">
    <w:abstractNumId w:val="1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A3"/>
    <w:rsid w:val="000012FA"/>
    <w:rsid w:val="00001B51"/>
    <w:rsid w:val="00002025"/>
    <w:rsid w:val="000028F4"/>
    <w:rsid w:val="00004327"/>
    <w:rsid w:val="00005688"/>
    <w:rsid w:val="000063DF"/>
    <w:rsid w:val="0001007A"/>
    <w:rsid w:val="000139C1"/>
    <w:rsid w:val="000168B6"/>
    <w:rsid w:val="000172B5"/>
    <w:rsid w:val="000216C4"/>
    <w:rsid w:val="00021812"/>
    <w:rsid w:val="00024F94"/>
    <w:rsid w:val="00026CF4"/>
    <w:rsid w:val="000307B3"/>
    <w:rsid w:val="00031101"/>
    <w:rsid w:val="00036D20"/>
    <w:rsid w:val="0003765D"/>
    <w:rsid w:val="00037F7F"/>
    <w:rsid w:val="000400A5"/>
    <w:rsid w:val="00042935"/>
    <w:rsid w:val="000431CE"/>
    <w:rsid w:val="00043530"/>
    <w:rsid w:val="00043AF3"/>
    <w:rsid w:val="00047FAB"/>
    <w:rsid w:val="000511CE"/>
    <w:rsid w:val="00051E0D"/>
    <w:rsid w:val="000534F7"/>
    <w:rsid w:val="00053549"/>
    <w:rsid w:val="0005392F"/>
    <w:rsid w:val="000541C4"/>
    <w:rsid w:val="00055FD9"/>
    <w:rsid w:val="00060038"/>
    <w:rsid w:val="00060DAF"/>
    <w:rsid w:val="0006110C"/>
    <w:rsid w:val="00062D7D"/>
    <w:rsid w:val="00063ED6"/>
    <w:rsid w:val="00064D05"/>
    <w:rsid w:val="00065F5B"/>
    <w:rsid w:val="0006762C"/>
    <w:rsid w:val="00070BAB"/>
    <w:rsid w:val="00071172"/>
    <w:rsid w:val="00072918"/>
    <w:rsid w:val="00074018"/>
    <w:rsid w:val="00081877"/>
    <w:rsid w:val="000828BE"/>
    <w:rsid w:val="00082A9B"/>
    <w:rsid w:val="00086A3D"/>
    <w:rsid w:val="00092640"/>
    <w:rsid w:val="00092B00"/>
    <w:rsid w:val="000930B2"/>
    <w:rsid w:val="00093395"/>
    <w:rsid w:val="00094DE5"/>
    <w:rsid w:val="00097BDD"/>
    <w:rsid w:val="00097E68"/>
    <w:rsid w:val="000A43C9"/>
    <w:rsid w:val="000A4A1B"/>
    <w:rsid w:val="000A4C18"/>
    <w:rsid w:val="000A6B62"/>
    <w:rsid w:val="000A6FB7"/>
    <w:rsid w:val="000A7128"/>
    <w:rsid w:val="000A7717"/>
    <w:rsid w:val="000B2D12"/>
    <w:rsid w:val="000B2FB4"/>
    <w:rsid w:val="000B468F"/>
    <w:rsid w:val="000B509A"/>
    <w:rsid w:val="000B6C4B"/>
    <w:rsid w:val="000B7BEB"/>
    <w:rsid w:val="000C02F1"/>
    <w:rsid w:val="000C1468"/>
    <w:rsid w:val="000C1DFF"/>
    <w:rsid w:val="000C583E"/>
    <w:rsid w:val="000C7203"/>
    <w:rsid w:val="000C72B8"/>
    <w:rsid w:val="000C7926"/>
    <w:rsid w:val="000D12BD"/>
    <w:rsid w:val="000D1D29"/>
    <w:rsid w:val="000D4617"/>
    <w:rsid w:val="000D5EEE"/>
    <w:rsid w:val="000D6FD5"/>
    <w:rsid w:val="000E00E4"/>
    <w:rsid w:val="000E01EF"/>
    <w:rsid w:val="000E2FEF"/>
    <w:rsid w:val="000E3C29"/>
    <w:rsid w:val="000E4471"/>
    <w:rsid w:val="000E4E8E"/>
    <w:rsid w:val="000E53A7"/>
    <w:rsid w:val="000E5B42"/>
    <w:rsid w:val="000E7B5B"/>
    <w:rsid w:val="000F0361"/>
    <w:rsid w:val="000F1398"/>
    <w:rsid w:val="000F2BE7"/>
    <w:rsid w:val="000F4B32"/>
    <w:rsid w:val="000F4FD9"/>
    <w:rsid w:val="000F6D13"/>
    <w:rsid w:val="0010035C"/>
    <w:rsid w:val="00101766"/>
    <w:rsid w:val="00102371"/>
    <w:rsid w:val="00104841"/>
    <w:rsid w:val="0010733B"/>
    <w:rsid w:val="001077F7"/>
    <w:rsid w:val="00110E2F"/>
    <w:rsid w:val="001110A4"/>
    <w:rsid w:val="00111649"/>
    <w:rsid w:val="00112FCA"/>
    <w:rsid w:val="00113DBA"/>
    <w:rsid w:val="001144A8"/>
    <w:rsid w:val="001145E9"/>
    <w:rsid w:val="00115041"/>
    <w:rsid w:val="0011642C"/>
    <w:rsid w:val="001164E0"/>
    <w:rsid w:val="00120360"/>
    <w:rsid w:val="001213D3"/>
    <w:rsid w:val="00121625"/>
    <w:rsid w:val="00121A2C"/>
    <w:rsid w:val="00122AED"/>
    <w:rsid w:val="00125DF8"/>
    <w:rsid w:val="00127482"/>
    <w:rsid w:val="001340AD"/>
    <w:rsid w:val="00135734"/>
    <w:rsid w:val="001406BB"/>
    <w:rsid w:val="001413C1"/>
    <w:rsid w:val="001439A1"/>
    <w:rsid w:val="00144CD6"/>
    <w:rsid w:val="001453B1"/>
    <w:rsid w:val="0014619C"/>
    <w:rsid w:val="001462A0"/>
    <w:rsid w:val="001473A6"/>
    <w:rsid w:val="0015022A"/>
    <w:rsid w:val="0015493A"/>
    <w:rsid w:val="001562FD"/>
    <w:rsid w:val="00157017"/>
    <w:rsid w:val="00160F9B"/>
    <w:rsid w:val="00162062"/>
    <w:rsid w:val="00162ADE"/>
    <w:rsid w:val="0016395D"/>
    <w:rsid w:val="00166323"/>
    <w:rsid w:val="00166336"/>
    <w:rsid w:val="00166EC4"/>
    <w:rsid w:val="00172197"/>
    <w:rsid w:val="0017225C"/>
    <w:rsid w:val="0017265D"/>
    <w:rsid w:val="00172C1D"/>
    <w:rsid w:val="00172CD4"/>
    <w:rsid w:val="00173D36"/>
    <w:rsid w:val="001751EC"/>
    <w:rsid w:val="001759B6"/>
    <w:rsid w:val="00176FF1"/>
    <w:rsid w:val="00177399"/>
    <w:rsid w:val="001842E1"/>
    <w:rsid w:val="0018571D"/>
    <w:rsid w:val="001859FB"/>
    <w:rsid w:val="00190553"/>
    <w:rsid w:val="00190624"/>
    <w:rsid w:val="0019084C"/>
    <w:rsid w:val="001912AA"/>
    <w:rsid w:val="001915F8"/>
    <w:rsid w:val="0019378D"/>
    <w:rsid w:val="00193CB1"/>
    <w:rsid w:val="00194C34"/>
    <w:rsid w:val="00197C61"/>
    <w:rsid w:val="001A19DA"/>
    <w:rsid w:val="001A39D2"/>
    <w:rsid w:val="001A5285"/>
    <w:rsid w:val="001A7FD3"/>
    <w:rsid w:val="001B0703"/>
    <w:rsid w:val="001B1CB4"/>
    <w:rsid w:val="001B2B6C"/>
    <w:rsid w:val="001B35CF"/>
    <w:rsid w:val="001B4D86"/>
    <w:rsid w:val="001B70C2"/>
    <w:rsid w:val="001C18A6"/>
    <w:rsid w:val="001C6D99"/>
    <w:rsid w:val="001C6F4E"/>
    <w:rsid w:val="001C72FA"/>
    <w:rsid w:val="001C7512"/>
    <w:rsid w:val="001D157E"/>
    <w:rsid w:val="001D18B0"/>
    <w:rsid w:val="001D21DD"/>
    <w:rsid w:val="001D4A69"/>
    <w:rsid w:val="001D6041"/>
    <w:rsid w:val="001D6DCE"/>
    <w:rsid w:val="001D746C"/>
    <w:rsid w:val="001D7BE3"/>
    <w:rsid w:val="001E0EA9"/>
    <w:rsid w:val="001E31E8"/>
    <w:rsid w:val="001F1129"/>
    <w:rsid w:val="001F174C"/>
    <w:rsid w:val="001F1C2B"/>
    <w:rsid w:val="001F1D4C"/>
    <w:rsid w:val="001F2DCD"/>
    <w:rsid w:val="001F5D0F"/>
    <w:rsid w:val="001F5E3D"/>
    <w:rsid w:val="001F5F07"/>
    <w:rsid w:val="001F7590"/>
    <w:rsid w:val="002008EF"/>
    <w:rsid w:val="0020257A"/>
    <w:rsid w:val="00204153"/>
    <w:rsid w:val="0020492E"/>
    <w:rsid w:val="00205D59"/>
    <w:rsid w:val="00206EAD"/>
    <w:rsid w:val="002073B4"/>
    <w:rsid w:val="0021155F"/>
    <w:rsid w:val="0021177A"/>
    <w:rsid w:val="0021284F"/>
    <w:rsid w:val="002134E1"/>
    <w:rsid w:val="002141A2"/>
    <w:rsid w:val="002153D4"/>
    <w:rsid w:val="00216C6A"/>
    <w:rsid w:val="0021711A"/>
    <w:rsid w:val="00223737"/>
    <w:rsid w:val="00224A51"/>
    <w:rsid w:val="0022656B"/>
    <w:rsid w:val="00231099"/>
    <w:rsid w:val="00232FB4"/>
    <w:rsid w:val="0023456E"/>
    <w:rsid w:val="00235A2B"/>
    <w:rsid w:val="00236701"/>
    <w:rsid w:val="00237B51"/>
    <w:rsid w:val="00237DA8"/>
    <w:rsid w:val="002451BB"/>
    <w:rsid w:val="002451FB"/>
    <w:rsid w:val="00245657"/>
    <w:rsid w:val="00250E50"/>
    <w:rsid w:val="00252B30"/>
    <w:rsid w:val="00253686"/>
    <w:rsid w:val="002537A3"/>
    <w:rsid w:val="00253DE0"/>
    <w:rsid w:val="002548C4"/>
    <w:rsid w:val="00254FE3"/>
    <w:rsid w:val="0025563A"/>
    <w:rsid w:val="002565BF"/>
    <w:rsid w:val="002601FD"/>
    <w:rsid w:val="0026182B"/>
    <w:rsid w:val="002621C4"/>
    <w:rsid w:val="0026236C"/>
    <w:rsid w:val="00263A5B"/>
    <w:rsid w:val="00264E65"/>
    <w:rsid w:val="0026677A"/>
    <w:rsid w:val="00266D02"/>
    <w:rsid w:val="00267313"/>
    <w:rsid w:val="00267778"/>
    <w:rsid w:val="002702F8"/>
    <w:rsid w:val="00270C64"/>
    <w:rsid w:val="00270D1E"/>
    <w:rsid w:val="002722A8"/>
    <w:rsid w:val="00272809"/>
    <w:rsid w:val="00274B91"/>
    <w:rsid w:val="00275117"/>
    <w:rsid w:val="00275B9E"/>
    <w:rsid w:val="0027778F"/>
    <w:rsid w:val="00277D80"/>
    <w:rsid w:val="00280B1A"/>
    <w:rsid w:val="00280CE5"/>
    <w:rsid w:val="00281528"/>
    <w:rsid w:val="00284224"/>
    <w:rsid w:val="0028486D"/>
    <w:rsid w:val="00290ED9"/>
    <w:rsid w:val="00291377"/>
    <w:rsid w:val="00291D06"/>
    <w:rsid w:val="00291E20"/>
    <w:rsid w:val="002927A8"/>
    <w:rsid w:val="00293A2F"/>
    <w:rsid w:val="00295222"/>
    <w:rsid w:val="00297A92"/>
    <w:rsid w:val="002A0414"/>
    <w:rsid w:val="002A0516"/>
    <w:rsid w:val="002A0B05"/>
    <w:rsid w:val="002A11CD"/>
    <w:rsid w:val="002A1812"/>
    <w:rsid w:val="002A1A7A"/>
    <w:rsid w:val="002A3B4B"/>
    <w:rsid w:val="002A5DCA"/>
    <w:rsid w:val="002A61BE"/>
    <w:rsid w:val="002A6D7B"/>
    <w:rsid w:val="002A79E5"/>
    <w:rsid w:val="002B323B"/>
    <w:rsid w:val="002B36AA"/>
    <w:rsid w:val="002B4CBD"/>
    <w:rsid w:val="002B5674"/>
    <w:rsid w:val="002C2D4F"/>
    <w:rsid w:val="002C4359"/>
    <w:rsid w:val="002C4A8A"/>
    <w:rsid w:val="002C5D76"/>
    <w:rsid w:val="002C6D91"/>
    <w:rsid w:val="002D05E4"/>
    <w:rsid w:val="002D1F31"/>
    <w:rsid w:val="002D5974"/>
    <w:rsid w:val="002D5BA6"/>
    <w:rsid w:val="002D6F1E"/>
    <w:rsid w:val="002E1667"/>
    <w:rsid w:val="002E319B"/>
    <w:rsid w:val="002E63F8"/>
    <w:rsid w:val="002E6B09"/>
    <w:rsid w:val="002E6F8E"/>
    <w:rsid w:val="002F1B20"/>
    <w:rsid w:val="002F25D8"/>
    <w:rsid w:val="002F27A0"/>
    <w:rsid w:val="002F31F6"/>
    <w:rsid w:val="002F3522"/>
    <w:rsid w:val="002F3822"/>
    <w:rsid w:val="002F41D2"/>
    <w:rsid w:val="002F4C2D"/>
    <w:rsid w:val="0030099B"/>
    <w:rsid w:val="00303CF2"/>
    <w:rsid w:val="00305641"/>
    <w:rsid w:val="003056CA"/>
    <w:rsid w:val="00310C2D"/>
    <w:rsid w:val="0031259E"/>
    <w:rsid w:val="00313358"/>
    <w:rsid w:val="0031416A"/>
    <w:rsid w:val="00315B7A"/>
    <w:rsid w:val="00316356"/>
    <w:rsid w:val="003217BB"/>
    <w:rsid w:val="00321F44"/>
    <w:rsid w:val="003229EB"/>
    <w:rsid w:val="00325F87"/>
    <w:rsid w:val="00326339"/>
    <w:rsid w:val="00326BA3"/>
    <w:rsid w:val="00332E7A"/>
    <w:rsid w:val="0033378D"/>
    <w:rsid w:val="003357B4"/>
    <w:rsid w:val="00340660"/>
    <w:rsid w:val="00342065"/>
    <w:rsid w:val="003422AF"/>
    <w:rsid w:val="0034526F"/>
    <w:rsid w:val="00346778"/>
    <w:rsid w:val="00346F10"/>
    <w:rsid w:val="00347F57"/>
    <w:rsid w:val="003525F0"/>
    <w:rsid w:val="0035275D"/>
    <w:rsid w:val="003527EA"/>
    <w:rsid w:val="00353BA8"/>
    <w:rsid w:val="0035423C"/>
    <w:rsid w:val="00354515"/>
    <w:rsid w:val="00360FD0"/>
    <w:rsid w:val="003620F9"/>
    <w:rsid w:val="003623EA"/>
    <w:rsid w:val="0036714C"/>
    <w:rsid w:val="00370006"/>
    <w:rsid w:val="003707DD"/>
    <w:rsid w:val="00372C05"/>
    <w:rsid w:val="00373103"/>
    <w:rsid w:val="003739FC"/>
    <w:rsid w:val="00373FFA"/>
    <w:rsid w:val="00376115"/>
    <w:rsid w:val="0037632A"/>
    <w:rsid w:val="00380F1F"/>
    <w:rsid w:val="003825D8"/>
    <w:rsid w:val="003837E0"/>
    <w:rsid w:val="003847C8"/>
    <w:rsid w:val="003858CC"/>
    <w:rsid w:val="00387B35"/>
    <w:rsid w:val="00390ACC"/>
    <w:rsid w:val="003911AF"/>
    <w:rsid w:val="00391362"/>
    <w:rsid w:val="00393255"/>
    <w:rsid w:val="0039368F"/>
    <w:rsid w:val="00393D1B"/>
    <w:rsid w:val="00394FE9"/>
    <w:rsid w:val="00397E3F"/>
    <w:rsid w:val="003A0FC1"/>
    <w:rsid w:val="003A2674"/>
    <w:rsid w:val="003A393C"/>
    <w:rsid w:val="003A4470"/>
    <w:rsid w:val="003A7566"/>
    <w:rsid w:val="003B0595"/>
    <w:rsid w:val="003B2318"/>
    <w:rsid w:val="003B2E33"/>
    <w:rsid w:val="003B371A"/>
    <w:rsid w:val="003B45FF"/>
    <w:rsid w:val="003B4A81"/>
    <w:rsid w:val="003B7048"/>
    <w:rsid w:val="003C1894"/>
    <w:rsid w:val="003C229F"/>
    <w:rsid w:val="003C2C1F"/>
    <w:rsid w:val="003C316E"/>
    <w:rsid w:val="003C4337"/>
    <w:rsid w:val="003C618A"/>
    <w:rsid w:val="003C6FD0"/>
    <w:rsid w:val="003D50AE"/>
    <w:rsid w:val="003D7C80"/>
    <w:rsid w:val="003E0504"/>
    <w:rsid w:val="003E0F54"/>
    <w:rsid w:val="003E210E"/>
    <w:rsid w:val="003E44AC"/>
    <w:rsid w:val="003E718A"/>
    <w:rsid w:val="003F0093"/>
    <w:rsid w:val="003F0B01"/>
    <w:rsid w:val="003F195F"/>
    <w:rsid w:val="003F1B30"/>
    <w:rsid w:val="003F2062"/>
    <w:rsid w:val="003F2DF4"/>
    <w:rsid w:val="003F2DFA"/>
    <w:rsid w:val="003F3871"/>
    <w:rsid w:val="003F3D49"/>
    <w:rsid w:val="003F4DAE"/>
    <w:rsid w:val="003F5425"/>
    <w:rsid w:val="003F5EAB"/>
    <w:rsid w:val="003F6C3C"/>
    <w:rsid w:val="003F780E"/>
    <w:rsid w:val="00401AC6"/>
    <w:rsid w:val="00401E7C"/>
    <w:rsid w:val="0040365F"/>
    <w:rsid w:val="00404862"/>
    <w:rsid w:val="00406FB0"/>
    <w:rsid w:val="00407065"/>
    <w:rsid w:val="00407DAB"/>
    <w:rsid w:val="00410216"/>
    <w:rsid w:val="00410432"/>
    <w:rsid w:val="00410D1D"/>
    <w:rsid w:val="00410F59"/>
    <w:rsid w:val="00411A1B"/>
    <w:rsid w:val="00413AB4"/>
    <w:rsid w:val="00414D78"/>
    <w:rsid w:val="00415423"/>
    <w:rsid w:val="00415447"/>
    <w:rsid w:val="00415664"/>
    <w:rsid w:val="004165DF"/>
    <w:rsid w:val="00416AD5"/>
    <w:rsid w:val="004221A1"/>
    <w:rsid w:val="004241EA"/>
    <w:rsid w:val="004253A3"/>
    <w:rsid w:val="004255A3"/>
    <w:rsid w:val="00425C7D"/>
    <w:rsid w:val="004279ED"/>
    <w:rsid w:val="004306A0"/>
    <w:rsid w:val="0043245E"/>
    <w:rsid w:val="004339D9"/>
    <w:rsid w:val="0043451F"/>
    <w:rsid w:val="00435FD4"/>
    <w:rsid w:val="00442DF5"/>
    <w:rsid w:val="00444295"/>
    <w:rsid w:val="00444EE5"/>
    <w:rsid w:val="004465B8"/>
    <w:rsid w:val="004473E3"/>
    <w:rsid w:val="00447C69"/>
    <w:rsid w:val="004508D9"/>
    <w:rsid w:val="00450FE5"/>
    <w:rsid w:val="00451738"/>
    <w:rsid w:val="00451F7E"/>
    <w:rsid w:val="00453D06"/>
    <w:rsid w:val="004543C7"/>
    <w:rsid w:val="004552D2"/>
    <w:rsid w:val="004556C9"/>
    <w:rsid w:val="004568B2"/>
    <w:rsid w:val="00457756"/>
    <w:rsid w:val="00460780"/>
    <w:rsid w:val="00461801"/>
    <w:rsid w:val="00463A24"/>
    <w:rsid w:val="00467A80"/>
    <w:rsid w:val="0047105E"/>
    <w:rsid w:val="00471575"/>
    <w:rsid w:val="0047478F"/>
    <w:rsid w:val="004753CD"/>
    <w:rsid w:val="0047573B"/>
    <w:rsid w:val="00477504"/>
    <w:rsid w:val="004778B1"/>
    <w:rsid w:val="00483E7C"/>
    <w:rsid w:val="00484A85"/>
    <w:rsid w:val="004863E9"/>
    <w:rsid w:val="00486787"/>
    <w:rsid w:val="00490AE8"/>
    <w:rsid w:val="00493793"/>
    <w:rsid w:val="0049475A"/>
    <w:rsid w:val="00495CE0"/>
    <w:rsid w:val="00495FBD"/>
    <w:rsid w:val="00496690"/>
    <w:rsid w:val="00496C3B"/>
    <w:rsid w:val="00496F11"/>
    <w:rsid w:val="00497952"/>
    <w:rsid w:val="004A4F2D"/>
    <w:rsid w:val="004A50B7"/>
    <w:rsid w:val="004A5FEC"/>
    <w:rsid w:val="004A7872"/>
    <w:rsid w:val="004B0F0C"/>
    <w:rsid w:val="004B165E"/>
    <w:rsid w:val="004B22F2"/>
    <w:rsid w:val="004B23C3"/>
    <w:rsid w:val="004B3042"/>
    <w:rsid w:val="004B6770"/>
    <w:rsid w:val="004B6EBD"/>
    <w:rsid w:val="004C013C"/>
    <w:rsid w:val="004C0FA7"/>
    <w:rsid w:val="004C2033"/>
    <w:rsid w:val="004C261B"/>
    <w:rsid w:val="004C56FD"/>
    <w:rsid w:val="004D111F"/>
    <w:rsid w:val="004D167B"/>
    <w:rsid w:val="004D213C"/>
    <w:rsid w:val="004D2478"/>
    <w:rsid w:val="004D43EF"/>
    <w:rsid w:val="004D4C19"/>
    <w:rsid w:val="004D56EA"/>
    <w:rsid w:val="004D66E6"/>
    <w:rsid w:val="004D6C0E"/>
    <w:rsid w:val="004E0E1A"/>
    <w:rsid w:val="004E1F0B"/>
    <w:rsid w:val="004E2E2E"/>
    <w:rsid w:val="004E33D0"/>
    <w:rsid w:val="004E37C7"/>
    <w:rsid w:val="004E460F"/>
    <w:rsid w:val="004E4B8E"/>
    <w:rsid w:val="004E4E0C"/>
    <w:rsid w:val="004E512E"/>
    <w:rsid w:val="004E5642"/>
    <w:rsid w:val="004F08CB"/>
    <w:rsid w:val="004F1C1F"/>
    <w:rsid w:val="004F2784"/>
    <w:rsid w:val="004F28BD"/>
    <w:rsid w:val="004F2F02"/>
    <w:rsid w:val="00500FF6"/>
    <w:rsid w:val="005013E2"/>
    <w:rsid w:val="0050323D"/>
    <w:rsid w:val="00503B37"/>
    <w:rsid w:val="00504D92"/>
    <w:rsid w:val="00505C8C"/>
    <w:rsid w:val="00506A53"/>
    <w:rsid w:val="005070AE"/>
    <w:rsid w:val="00510D6B"/>
    <w:rsid w:val="00510E1D"/>
    <w:rsid w:val="00511DFC"/>
    <w:rsid w:val="00513122"/>
    <w:rsid w:val="00514B52"/>
    <w:rsid w:val="005157E8"/>
    <w:rsid w:val="005175A6"/>
    <w:rsid w:val="00520D44"/>
    <w:rsid w:val="005210C5"/>
    <w:rsid w:val="00521307"/>
    <w:rsid w:val="00521710"/>
    <w:rsid w:val="00521CB4"/>
    <w:rsid w:val="00522CE8"/>
    <w:rsid w:val="00523BAC"/>
    <w:rsid w:val="0052550E"/>
    <w:rsid w:val="0052559B"/>
    <w:rsid w:val="00531220"/>
    <w:rsid w:val="00531FD1"/>
    <w:rsid w:val="00532821"/>
    <w:rsid w:val="00533419"/>
    <w:rsid w:val="005339C2"/>
    <w:rsid w:val="00535850"/>
    <w:rsid w:val="0053649F"/>
    <w:rsid w:val="005365DF"/>
    <w:rsid w:val="00543565"/>
    <w:rsid w:val="005439F9"/>
    <w:rsid w:val="00544550"/>
    <w:rsid w:val="005454C4"/>
    <w:rsid w:val="00545F55"/>
    <w:rsid w:val="00546E86"/>
    <w:rsid w:val="00547F24"/>
    <w:rsid w:val="00550724"/>
    <w:rsid w:val="0055113C"/>
    <w:rsid w:val="00552DDC"/>
    <w:rsid w:val="005537CA"/>
    <w:rsid w:val="00557574"/>
    <w:rsid w:val="005655D8"/>
    <w:rsid w:val="00565653"/>
    <w:rsid w:val="00565D5B"/>
    <w:rsid w:val="00567D52"/>
    <w:rsid w:val="00571209"/>
    <w:rsid w:val="00572F0C"/>
    <w:rsid w:val="0057422F"/>
    <w:rsid w:val="00575FAD"/>
    <w:rsid w:val="00576BCC"/>
    <w:rsid w:val="00577CC7"/>
    <w:rsid w:val="005808CF"/>
    <w:rsid w:val="00583374"/>
    <w:rsid w:val="005838F7"/>
    <w:rsid w:val="00585241"/>
    <w:rsid w:val="005864D3"/>
    <w:rsid w:val="00590632"/>
    <w:rsid w:val="0059194D"/>
    <w:rsid w:val="00592639"/>
    <w:rsid w:val="00593DCD"/>
    <w:rsid w:val="00594E32"/>
    <w:rsid w:val="00595FC1"/>
    <w:rsid w:val="00596F33"/>
    <w:rsid w:val="00597C0F"/>
    <w:rsid w:val="005A0E06"/>
    <w:rsid w:val="005A2416"/>
    <w:rsid w:val="005A2430"/>
    <w:rsid w:val="005A3B3B"/>
    <w:rsid w:val="005A50EC"/>
    <w:rsid w:val="005A57A0"/>
    <w:rsid w:val="005A5917"/>
    <w:rsid w:val="005A62D9"/>
    <w:rsid w:val="005A663D"/>
    <w:rsid w:val="005A7F32"/>
    <w:rsid w:val="005B0BF6"/>
    <w:rsid w:val="005B0EAF"/>
    <w:rsid w:val="005B170F"/>
    <w:rsid w:val="005B1A67"/>
    <w:rsid w:val="005B1D5F"/>
    <w:rsid w:val="005B2078"/>
    <w:rsid w:val="005B2835"/>
    <w:rsid w:val="005B2C04"/>
    <w:rsid w:val="005B2E1D"/>
    <w:rsid w:val="005B2EFD"/>
    <w:rsid w:val="005B32F7"/>
    <w:rsid w:val="005B3581"/>
    <w:rsid w:val="005B367F"/>
    <w:rsid w:val="005B3C10"/>
    <w:rsid w:val="005B53F9"/>
    <w:rsid w:val="005B5BB9"/>
    <w:rsid w:val="005B73AE"/>
    <w:rsid w:val="005B797A"/>
    <w:rsid w:val="005C037E"/>
    <w:rsid w:val="005C0801"/>
    <w:rsid w:val="005C0878"/>
    <w:rsid w:val="005C1EB5"/>
    <w:rsid w:val="005C36EF"/>
    <w:rsid w:val="005C43F5"/>
    <w:rsid w:val="005C5992"/>
    <w:rsid w:val="005C5E80"/>
    <w:rsid w:val="005C7389"/>
    <w:rsid w:val="005D059D"/>
    <w:rsid w:val="005D081B"/>
    <w:rsid w:val="005D195D"/>
    <w:rsid w:val="005D2301"/>
    <w:rsid w:val="005D2E0C"/>
    <w:rsid w:val="005D4A01"/>
    <w:rsid w:val="005D4D64"/>
    <w:rsid w:val="005D4EA9"/>
    <w:rsid w:val="005D554E"/>
    <w:rsid w:val="005D57FB"/>
    <w:rsid w:val="005D590A"/>
    <w:rsid w:val="005D6822"/>
    <w:rsid w:val="005D796D"/>
    <w:rsid w:val="005D7EDC"/>
    <w:rsid w:val="005E153D"/>
    <w:rsid w:val="005E1842"/>
    <w:rsid w:val="005E192F"/>
    <w:rsid w:val="005E1CF9"/>
    <w:rsid w:val="005E1E51"/>
    <w:rsid w:val="005E3989"/>
    <w:rsid w:val="005E60E2"/>
    <w:rsid w:val="005E76A1"/>
    <w:rsid w:val="005E7D1F"/>
    <w:rsid w:val="005E7E7A"/>
    <w:rsid w:val="005F00B3"/>
    <w:rsid w:val="005F0646"/>
    <w:rsid w:val="005F106C"/>
    <w:rsid w:val="005F3845"/>
    <w:rsid w:val="005F51A6"/>
    <w:rsid w:val="005F58A1"/>
    <w:rsid w:val="00600597"/>
    <w:rsid w:val="00602006"/>
    <w:rsid w:val="00602FD2"/>
    <w:rsid w:val="006041F3"/>
    <w:rsid w:val="0060594A"/>
    <w:rsid w:val="00606A6D"/>
    <w:rsid w:val="006122A3"/>
    <w:rsid w:val="00613744"/>
    <w:rsid w:val="00614322"/>
    <w:rsid w:val="00614A04"/>
    <w:rsid w:val="00615010"/>
    <w:rsid w:val="00615643"/>
    <w:rsid w:val="00615A13"/>
    <w:rsid w:val="00616230"/>
    <w:rsid w:val="00617FD8"/>
    <w:rsid w:val="00620370"/>
    <w:rsid w:val="00620704"/>
    <w:rsid w:val="00623D01"/>
    <w:rsid w:val="00623EB7"/>
    <w:rsid w:val="00626D57"/>
    <w:rsid w:val="00630329"/>
    <w:rsid w:val="00632C4C"/>
    <w:rsid w:val="00636228"/>
    <w:rsid w:val="006418E4"/>
    <w:rsid w:val="00641A92"/>
    <w:rsid w:val="006421AE"/>
    <w:rsid w:val="006442EA"/>
    <w:rsid w:val="00645486"/>
    <w:rsid w:val="006455E9"/>
    <w:rsid w:val="00647923"/>
    <w:rsid w:val="00650744"/>
    <w:rsid w:val="006521DE"/>
    <w:rsid w:val="0065250A"/>
    <w:rsid w:val="00652882"/>
    <w:rsid w:val="00654263"/>
    <w:rsid w:val="006548A9"/>
    <w:rsid w:val="00655BAF"/>
    <w:rsid w:val="00655E9B"/>
    <w:rsid w:val="0065794C"/>
    <w:rsid w:val="00657993"/>
    <w:rsid w:val="00657B2F"/>
    <w:rsid w:val="006633DC"/>
    <w:rsid w:val="00670119"/>
    <w:rsid w:val="00671649"/>
    <w:rsid w:val="00671A7E"/>
    <w:rsid w:val="00676E8C"/>
    <w:rsid w:val="006828E0"/>
    <w:rsid w:val="00684B87"/>
    <w:rsid w:val="00685D01"/>
    <w:rsid w:val="00686D35"/>
    <w:rsid w:val="00687155"/>
    <w:rsid w:val="006904E6"/>
    <w:rsid w:val="00691C33"/>
    <w:rsid w:val="00692B73"/>
    <w:rsid w:val="00692E37"/>
    <w:rsid w:val="0069342F"/>
    <w:rsid w:val="00695CC6"/>
    <w:rsid w:val="006963E7"/>
    <w:rsid w:val="006975FC"/>
    <w:rsid w:val="006A0AF7"/>
    <w:rsid w:val="006A13F3"/>
    <w:rsid w:val="006A1753"/>
    <w:rsid w:val="006A3520"/>
    <w:rsid w:val="006A4F21"/>
    <w:rsid w:val="006A5202"/>
    <w:rsid w:val="006A6761"/>
    <w:rsid w:val="006A7B59"/>
    <w:rsid w:val="006B134B"/>
    <w:rsid w:val="006B26CB"/>
    <w:rsid w:val="006B5B98"/>
    <w:rsid w:val="006C2004"/>
    <w:rsid w:val="006C233E"/>
    <w:rsid w:val="006C2944"/>
    <w:rsid w:val="006C34E7"/>
    <w:rsid w:val="006C45D8"/>
    <w:rsid w:val="006C4A50"/>
    <w:rsid w:val="006C5637"/>
    <w:rsid w:val="006C68C7"/>
    <w:rsid w:val="006C6FD2"/>
    <w:rsid w:val="006D015B"/>
    <w:rsid w:val="006D03DD"/>
    <w:rsid w:val="006D16C6"/>
    <w:rsid w:val="006D18C2"/>
    <w:rsid w:val="006D3AD8"/>
    <w:rsid w:val="006D41BD"/>
    <w:rsid w:val="006D49FA"/>
    <w:rsid w:val="006D4DEB"/>
    <w:rsid w:val="006E12F5"/>
    <w:rsid w:val="006E2140"/>
    <w:rsid w:val="006E2D3B"/>
    <w:rsid w:val="006E63AA"/>
    <w:rsid w:val="006E65FA"/>
    <w:rsid w:val="006F02B4"/>
    <w:rsid w:val="006F0852"/>
    <w:rsid w:val="006F119F"/>
    <w:rsid w:val="006F2BA9"/>
    <w:rsid w:val="006F344D"/>
    <w:rsid w:val="006F367B"/>
    <w:rsid w:val="006F3925"/>
    <w:rsid w:val="006F44EB"/>
    <w:rsid w:val="006F469C"/>
    <w:rsid w:val="006F5E38"/>
    <w:rsid w:val="006F794C"/>
    <w:rsid w:val="00700ED2"/>
    <w:rsid w:val="0070224A"/>
    <w:rsid w:val="00702C5B"/>
    <w:rsid w:val="00703C2D"/>
    <w:rsid w:val="00704B1C"/>
    <w:rsid w:val="00704B96"/>
    <w:rsid w:val="00705E7D"/>
    <w:rsid w:val="00711EC0"/>
    <w:rsid w:val="00712594"/>
    <w:rsid w:val="007129FC"/>
    <w:rsid w:val="0071387E"/>
    <w:rsid w:val="00713C2A"/>
    <w:rsid w:val="007153AE"/>
    <w:rsid w:val="007163DF"/>
    <w:rsid w:val="007205D6"/>
    <w:rsid w:val="007209F0"/>
    <w:rsid w:val="00721C39"/>
    <w:rsid w:val="00722952"/>
    <w:rsid w:val="007236E5"/>
    <w:rsid w:val="007239B0"/>
    <w:rsid w:val="00723E81"/>
    <w:rsid w:val="00723FAB"/>
    <w:rsid w:val="00725F3F"/>
    <w:rsid w:val="00742ADF"/>
    <w:rsid w:val="00742E59"/>
    <w:rsid w:val="00744954"/>
    <w:rsid w:val="00745DB7"/>
    <w:rsid w:val="00747658"/>
    <w:rsid w:val="007477DE"/>
    <w:rsid w:val="00747AD9"/>
    <w:rsid w:val="00750095"/>
    <w:rsid w:val="00750DEE"/>
    <w:rsid w:val="00752762"/>
    <w:rsid w:val="00753491"/>
    <w:rsid w:val="00753BF4"/>
    <w:rsid w:val="00754C0A"/>
    <w:rsid w:val="00755240"/>
    <w:rsid w:val="00755DA5"/>
    <w:rsid w:val="0075620D"/>
    <w:rsid w:val="00757D50"/>
    <w:rsid w:val="00762383"/>
    <w:rsid w:val="0076308D"/>
    <w:rsid w:val="00763BD3"/>
    <w:rsid w:val="00765F23"/>
    <w:rsid w:val="007674CA"/>
    <w:rsid w:val="007676F3"/>
    <w:rsid w:val="00767BDF"/>
    <w:rsid w:val="00770BA5"/>
    <w:rsid w:val="007723BD"/>
    <w:rsid w:val="007732F6"/>
    <w:rsid w:val="007770BB"/>
    <w:rsid w:val="00780660"/>
    <w:rsid w:val="00782800"/>
    <w:rsid w:val="0078302E"/>
    <w:rsid w:val="00783B93"/>
    <w:rsid w:val="00786249"/>
    <w:rsid w:val="00787DF9"/>
    <w:rsid w:val="00791237"/>
    <w:rsid w:val="0079213A"/>
    <w:rsid w:val="00793AAA"/>
    <w:rsid w:val="00796277"/>
    <w:rsid w:val="0079752E"/>
    <w:rsid w:val="007A18CC"/>
    <w:rsid w:val="007A1FD6"/>
    <w:rsid w:val="007A2D88"/>
    <w:rsid w:val="007A3C15"/>
    <w:rsid w:val="007A446E"/>
    <w:rsid w:val="007A49FA"/>
    <w:rsid w:val="007A59E2"/>
    <w:rsid w:val="007A72D2"/>
    <w:rsid w:val="007A72F4"/>
    <w:rsid w:val="007B1108"/>
    <w:rsid w:val="007B34FD"/>
    <w:rsid w:val="007B44C1"/>
    <w:rsid w:val="007B5CD3"/>
    <w:rsid w:val="007B5CE1"/>
    <w:rsid w:val="007B5D1E"/>
    <w:rsid w:val="007B6042"/>
    <w:rsid w:val="007B6E87"/>
    <w:rsid w:val="007B6EEE"/>
    <w:rsid w:val="007B7DD0"/>
    <w:rsid w:val="007C15BC"/>
    <w:rsid w:val="007C34F6"/>
    <w:rsid w:val="007C547A"/>
    <w:rsid w:val="007C6841"/>
    <w:rsid w:val="007C752F"/>
    <w:rsid w:val="007D0342"/>
    <w:rsid w:val="007D2F88"/>
    <w:rsid w:val="007D4F58"/>
    <w:rsid w:val="007D7160"/>
    <w:rsid w:val="007D7779"/>
    <w:rsid w:val="007D7876"/>
    <w:rsid w:val="007E14D4"/>
    <w:rsid w:val="007E2723"/>
    <w:rsid w:val="007E2A7F"/>
    <w:rsid w:val="007E2BF1"/>
    <w:rsid w:val="007E559D"/>
    <w:rsid w:val="007E5F8B"/>
    <w:rsid w:val="007F1F1D"/>
    <w:rsid w:val="007F4251"/>
    <w:rsid w:val="007F4FBA"/>
    <w:rsid w:val="00800A39"/>
    <w:rsid w:val="00803B5C"/>
    <w:rsid w:val="0080404A"/>
    <w:rsid w:val="0080441E"/>
    <w:rsid w:val="00805256"/>
    <w:rsid w:val="00806038"/>
    <w:rsid w:val="00811672"/>
    <w:rsid w:val="00811676"/>
    <w:rsid w:val="00811719"/>
    <w:rsid w:val="0081343F"/>
    <w:rsid w:val="00815F82"/>
    <w:rsid w:val="00816224"/>
    <w:rsid w:val="0081705D"/>
    <w:rsid w:val="00821523"/>
    <w:rsid w:val="00822BFF"/>
    <w:rsid w:val="00826558"/>
    <w:rsid w:val="008266EF"/>
    <w:rsid w:val="0083102C"/>
    <w:rsid w:val="008320C9"/>
    <w:rsid w:val="008330B3"/>
    <w:rsid w:val="00834145"/>
    <w:rsid w:val="0083471D"/>
    <w:rsid w:val="008357C1"/>
    <w:rsid w:val="008416BA"/>
    <w:rsid w:val="00843DCE"/>
    <w:rsid w:val="00843E71"/>
    <w:rsid w:val="008449C5"/>
    <w:rsid w:val="00845BF9"/>
    <w:rsid w:val="00846076"/>
    <w:rsid w:val="00847F9A"/>
    <w:rsid w:val="008513ED"/>
    <w:rsid w:val="00851F01"/>
    <w:rsid w:val="00853F61"/>
    <w:rsid w:val="008553BE"/>
    <w:rsid w:val="0085695B"/>
    <w:rsid w:val="008572EC"/>
    <w:rsid w:val="00857652"/>
    <w:rsid w:val="00861902"/>
    <w:rsid w:val="00863962"/>
    <w:rsid w:val="00864053"/>
    <w:rsid w:val="00870462"/>
    <w:rsid w:val="008709D1"/>
    <w:rsid w:val="00870EF9"/>
    <w:rsid w:val="00871227"/>
    <w:rsid w:val="008725BE"/>
    <w:rsid w:val="00873C4B"/>
    <w:rsid w:val="00873F6A"/>
    <w:rsid w:val="00874162"/>
    <w:rsid w:val="00881DEE"/>
    <w:rsid w:val="00881F01"/>
    <w:rsid w:val="00883B87"/>
    <w:rsid w:val="00883C8E"/>
    <w:rsid w:val="00883FD7"/>
    <w:rsid w:val="00887F13"/>
    <w:rsid w:val="00894E67"/>
    <w:rsid w:val="00895197"/>
    <w:rsid w:val="00896933"/>
    <w:rsid w:val="00897C83"/>
    <w:rsid w:val="008A1347"/>
    <w:rsid w:val="008A1788"/>
    <w:rsid w:val="008A1D78"/>
    <w:rsid w:val="008A24FD"/>
    <w:rsid w:val="008A368F"/>
    <w:rsid w:val="008A3767"/>
    <w:rsid w:val="008A4C1D"/>
    <w:rsid w:val="008A4C3B"/>
    <w:rsid w:val="008A5327"/>
    <w:rsid w:val="008B139E"/>
    <w:rsid w:val="008B1484"/>
    <w:rsid w:val="008B1F1A"/>
    <w:rsid w:val="008B22D9"/>
    <w:rsid w:val="008B2F9B"/>
    <w:rsid w:val="008B3A70"/>
    <w:rsid w:val="008B3EEF"/>
    <w:rsid w:val="008B6006"/>
    <w:rsid w:val="008C22C9"/>
    <w:rsid w:val="008C2F09"/>
    <w:rsid w:val="008C2FF9"/>
    <w:rsid w:val="008C39B2"/>
    <w:rsid w:val="008C4081"/>
    <w:rsid w:val="008C5E0E"/>
    <w:rsid w:val="008C6219"/>
    <w:rsid w:val="008C6F08"/>
    <w:rsid w:val="008D0EAE"/>
    <w:rsid w:val="008D2272"/>
    <w:rsid w:val="008D3451"/>
    <w:rsid w:val="008D38CC"/>
    <w:rsid w:val="008D3ADD"/>
    <w:rsid w:val="008D4AE7"/>
    <w:rsid w:val="008D544F"/>
    <w:rsid w:val="008D5B16"/>
    <w:rsid w:val="008D63C9"/>
    <w:rsid w:val="008D6A99"/>
    <w:rsid w:val="008D78DC"/>
    <w:rsid w:val="008D7B70"/>
    <w:rsid w:val="008E2B2C"/>
    <w:rsid w:val="008E31BC"/>
    <w:rsid w:val="008E488B"/>
    <w:rsid w:val="008E50D4"/>
    <w:rsid w:val="008E65FE"/>
    <w:rsid w:val="008F12A6"/>
    <w:rsid w:val="008F16F5"/>
    <w:rsid w:val="008F3A15"/>
    <w:rsid w:val="008F5CED"/>
    <w:rsid w:val="008F6CDB"/>
    <w:rsid w:val="009006F1"/>
    <w:rsid w:val="009013D5"/>
    <w:rsid w:val="009028C2"/>
    <w:rsid w:val="00902EA8"/>
    <w:rsid w:val="009030A9"/>
    <w:rsid w:val="009031AE"/>
    <w:rsid w:val="00903272"/>
    <w:rsid w:val="00903712"/>
    <w:rsid w:val="00904D3E"/>
    <w:rsid w:val="00905ABF"/>
    <w:rsid w:val="009106CF"/>
    <w:rsid w:val="009116FF"/>
    <w:rsid w:val="00912325"/>
    <w:rsid w:val="0091275E"/>
    <w:rsid w:val="00912F38"/>
    <w:rsid w:val="009151CD"/>
    <w:rsid w:val="00915663"/>
    <w:rsid w:val="00915EAB"/>
    <w:rsid w:val="009164FC"/>
    <w:rsid w:val="009165BC"/>
    <w:rsid w:val="00917722"/>
    <w:rsid w:val="00920D93"/>
    <w:rsid w:val="0092155D"/>
    <w:rsid w:val="00922BA1"/>
    <w:rsid w:val="00922E92"/>
    <w:rsid w:val="00925BDD"/>
    <w:rsid w:val="00926218"/>
    <w:rsid w:val="009266AA"/>
    <w:rsid w:val="00930DDE"/>
    <w:rsid w:val="00930E23"/>
    <w:rsid w:val="00932E21"/>
    <w:rsid w:val="00933070"/>
    <w:rsid w:val="00934B50"/>
    <w:rsid w:val="009352AA"/>
    <w:rsid w:val="00935BD4"/>
    <w:rsid w:val="00936811"/>
    <w:rsid w:val="00936C70"/>
    <w:rsid w:val="00937B56"/>
    <w:rsid w:val="00940D39"/>
    <w:rsid w:val="00941329"/>
    <w:rsid w:val="00941BE6"/>
    <w:rsid w:val="00942717"/>
    <w:rsid w:val="00942FF9"/>
    <w:rsid w:val="0094309B"/>
    <w:rsid w:val="00943FB5"/>
    <w:rsid w:val="009447FB"/>
    <w:rsid w:val="00944EF4"/>
    <w:rsid w:val="0094613A"/>
    <w:rsid w:val="00947BEF"/>
    <w:rsid w:val="0095019C"/>
    <w:rsid w:val="0095062D"/>
    <w:rsid w:val="009519E8"/>
    <w:rsid w:val="00952901"/>
    <w:rsid w:val="00953B39"/>
    <w:rsid w:val="00955930"/>
    <w:rsid w:val="00955FB0"/>
    <w:rsid w:val="009568F9"/>
    <w:rsid w:val="00962252"/>
    <w:rsid w:val="009646B9"/>
    <w:rsid w:val="00967402"/>
    <w:rsid w:val="009707F0"/>
    <w:rsid w:val="009755B1"/>
    <w:rsid w:val="00975737"/>
    <w:rsid w:val="009761A7"/>
    <w:rsid w:val="00976730"/>
    <w:rsid w:val="009806E6"/>
    <w:rsid w:val="00981815"/>
    <w:rsid w:val="009855C5"/>
    <w:rsid w:val="0099590A"/>
    <w:rsid w:val="00996094"/>
    <w:rsid w:val="00996455"/>
    <w:rsid w:val="00997475"/>
    <w:rsid w:val="009A0385"/>
    <w:rsid w:val="009A1143"/>
    <w:rsid w:val="009A1D1B"/>
    <w:rsid w:val="009A1F60"/>
    <w:rsid w:val="009A3BC1"/>
    <w:rsid w:val="009A4F24"/>
    <w:rsid w:val="009A5446"/>
    <w:rsid w:val="009A5D09"/>
    <w:rsid w:val="009A6B9B"/>
    <w:rsid w:val="009A71BC"/>
    <w:rsid w:val="009A7BB6"/>
    <w:rsid w:val="009B1E67"/>
    <w:rsid w:val="009B3B92"/>
    <w:rsid w:val="009B3F6C"/>
    <w:rsid w:val="009B5882"/>
    <w:rsid w:val="009B5B5A"/>
    <w:rsid w:val="009B5CBE"/>
    <w:rsid w:val="009B778C"/>
    <w:rsid w:val="009C0B54"/>
    <w:rsid w:val="009C40E8"/>
    <w:rsid w:val="009C5DA4"/>
    <w:rsid w:val="009C6417"/>
    <w:rsid w:val="009C66E9"/>
    <w:rsid w:val="009C7CF0"/>
    <w:rsid w:val="009D1453"/>
    <w:rsid w:val="009D16C9"/>
    <w:rsid w:val="009D40DA"/>
    <w:rsid w:val="009D4C39"/>
    <w:rsid w:val="009D5426"/>
    <w:rsid w:val="009D7321"/>
    <w:rsid w:val="009E0C38"/>
    <w:rsid w:val="009E308E"/>
    <w:rsid w:val="009E3A35"/>
    <w:rsid w:val="009E3FB3"/>
    <w:rsid w:val="009E44CE"/>
    <w:rsid w:val="009E48B2"/>
    <w:rsid w:val="009E49DC"/>
    <w:rsid w:val="009E4DC8"/>
    <w:rsid w:val="009E4F19"/>
    <w:rsid w:val="009E5832"/>
    <w:rsid w:val="009F0A42"/>
    <w:rsid w:val="009F24D3"/>
    <w:rsid w:val="009F3E1C"/>
    <w:rsid w:val="009F3FF2"/>
    <w:rsid w:val="009F40A6"/>
    <w:rsid w:val="009F47BC"/>
    <w:rsid w:val="009F611F"/>
    <w:rsid w:val="009F753C"/>
    <w:rsid w:val="00A00F17"/>
    <w:rsid w:val="00A0158A"/>
    <w:rsid w:val="00A01BBF"/>
    <w:rsid w:val="00A03B01"/>
    <w:rsid w:val="00A07C56"/>
    <w:rsid w:val="00A10D23"/>
    <w:rsid w:val="00A1213E"/>
    <w:rsid w:val="00A12B11"/>
    <w:rsid w:val="00A12FD4"/>
    <w:rsid w:val="00A141F4"/>
    <w:rsid w:val="00A14C9F"/>
    <w:rsid w:val="00A1513C"/>
    <w:rsid w:val="00A2008B"/>
    <w:rsid w:val="00A22212"/>
    <w:rsid w:val="00A2225C"/>
    <w:rsid w:val="00A2331B"/>
    <w:rsid w:val="00A2472C"/>
    <w:rsid w:val="00A254DD"/>
    <w:rsid w:val="00A26178"/>
    <w:rsid w:val="00A31B77"/>
    <w:rsid w:val="00A330C9"/>
    <w:rsid w:val="00A338F3"/>
    <w:rsid w:val="00A346FB"/>
    <w:rsid w:val="00A34835"/>
    <w:rsid w:val="00A34D9D"/>
    <w:rsid w:val="00A35A91"/>
    <w:rsid w:val="00A36CF5"/>
    <w:rsid w:val="00A409A2"/>
    <w:rsid w:val="00A4154C"/>
    <w:rsid w:val="00A42A77"/>
    <w:rsid w:val="00A44915"/>
    <w:rsid w:val="00A45AEC"/>
    <w:rsid w:val="00A45DE1"/>
    <w:rsid w:val="00A463A8"/>
    <w:rsid w:val="00A478BC"/>
    <w:rsid w:val="00A53489"/>
    <w:rsid w:val="00A54C6F"/>
    <w:rsid w:val="00A55B02"/>
    <w:rsid w:val="00A60403"/>
    <w:rsid w:val="00A606E8"/>
    <w:rsid w:val="00A61488"/>
    <w:rsid w:val="00A61DEE"/>
    <w:rsid w:val="00A6323D"/>
    <w:rsid w:val="00A634BF"/>
    <w:rsid w:val="00A63785"/>
    <w:rsid w:val="00A65156"/>
    <w:rsid w:val="00A66697"/>
    <w:rsid w:val="00A70EC3"/>
    <w:rsid w:val="00A71159"/>
    <w:rsid w:val="00A7146D"/>
    <w:rsid w:val="00A727A3"/>
    <w:rsid w:val="00A72BFD"/>
    <w:rsid w:val="00A72E67"/>
    <w:rsid w:val="00A731C0"/>
    <w:rsid w:val="00A7375C"/>
    <w:rsid w:val="00A73963"/>
    <w:rsid w:val="00A81199"/>
    <w:rsid w:val="00A81A44"/>
    <w:rsid w:val="00A81A4B"/>
    <w:rsid w:val="00A81D3D"/>
    <w:rsid w:val="00A828C3"/>
    <w:rsid w:val="00A838B2"/>
    <w:rsid w:val="00A83B6F"/>
    <w:rsid w:val="00A85B0B"/>
    <w:rsid w:val="00A863B9"/>
    <w:rsid w:val="00A8703E"/>
    <w:rsid w:val="00A878AF"/>
    <w:rsid w:val="00A905DD"/>
    <w:rsid w:val="00A92DC9"/>
    <w:rsid w:val="00A934C9"/>
    <w:rsid w:val="00A95441"/>
    <w:rsid w:val="00A9728D"/>
    <w:rsid w:val="00AA0435"/>
    <w:rsid w:val="00AA0944"/>
    <w:rsid w:val="00AA0CF7"/>
    <w:rsid w:val="00AA0FC7"/>
    <w:rsid w:val="00AA134E"/>
    <w:rsid w:val="00AA147A"/>
    <w:rsid w:val="00AA346A"/>
    <w:rsid w:val="00AA34DD"/>
    <w:rsid w:val="00AA501F"/>
    <w:rsid w:val="00AA74A6"/>
    <w:rsid w:val="00AB03A0"/>
    <w:rsid w:val="00AB1AD4"/>
    <w:rsid w:val="00AB206F"/>
    <w:rsid w:val="00AB4687"/>
    <w:rsid w:val="00AC0B83"/>
    <w:rsid w:val="00AC12C2"/>
    <w:rsid w:val="00AC15CA"/>
    <w:rsid w:val="00AC24B7"/>
    <w:rsid w:val="00AC4CFE"/>
    <w:rsid w:val="00AC509D"/>
    <w:rsid w:val="00AC59BA"/>
    <w:rsid w:val="00AC5DE9"/>
    <w:rsid w:val="00AC6178"/>
    <w:rsid w:val="00AC7AEB"/>
    <w:rsid w:val="00AD169F"/>
    <w:rsid w:val="00AD2D63"/>
    <w:rsid w:val="00AD44DF"/>
    <w:rsid w:val="00AE0BE2"/>
    <w:rsid w:val="00AE196E"/>
    <w:rsid w:val="00AE1AAE"/>
    <w:rsid w:val="00AE1E2E"/>
    <w:rsid w:val="00AE209F"/>
    <w:rsid w:val="00AE2C09"/>
    <w:rsid w:val="00AE32BF"/>
    <w:rsid w:val="00AE462C"/>
    <w:rsid w:val="00AE4869"/>
    <w:rsid w:val="00AE5B21"/>
    <w:rsid w:val="00AE6C55"/>
    <w:rsid w:val="00AF0936"/>
    <w:rsid w:val="00AF33B3"/>
    <w:rsid w:val="00AF3E23"/>
    <w:rsid w:val="00AF4246"/>
    <w:rsid w:val="00AF5EC4"/>
    <w:rsid w:val="00AF7ACE"/>
    <w:rsid w:val="00B0120D"/>
    <w:rsid w:val="00B03F84"/>
    <w:rsid w:val="00B04916"/>
    <w:rsid w:val="00B051E2"/>
    <w:rsid w:val="00B05441"/>
    <w:rsid w:val="00B05778"/>
    <w:rsid w:val="00B05C3F"/>
    <w:rsid w:val="00B104EE"/>
    <w:rsid w:val="00B10EB3"/>
    <w:rsid w:val="00B11992"/>
    <w:rsid w:val="00B12A8E"/>
    <w:rsid w:val="00B13B45"/>
    <w:rsid w:val="00B147E0"/>
    <w:rsid w:val="00B1482A"/>
    <w:rsid w:val="00B15811"/>
    <w:rsid w:val="00B15866"/>
    <w:rsid w:val="00B21A3E"/>
    <w:rsid w:val="00B21CB2"/>
    <w:rsid w:val="00B21DC0"/>
    <w:rsid w:val="00B220B1"/>
    <w:rsid w:val="00B22858"/>
    <w:rsid w:val="00B22AF1"/>
    <w:rsid w:val="00B246C9"/>
    <w:rsid w:val="00B24A37"/>
    <w:rsid w:val="00B27C03"/>
    <w:rsid w:val="00B310E3"/>
    <w:rsid w:val="00B33379"/>
    <w:rsid w:val="00B3452E"/>
    <w:rsid w:val="00B37A9D"/>
    <w:rsid w:val="00B37D41"/>
    <w:rsid w:val="00B40BC8"/>
    <w:rsid w:val="00B43822"/>
    <w:rsid w:val="00B43DB4"/>
    <w:rsid w:val="00B459BD"/>
    <w:rsid w:val="00B4670E"/>
    <w:rsid w:val="00B471DC"/>
    <w:rsid w:val="00B502D8"/>
    <w:rsid w:val="00B53711"/>
    <w:rsid w:val="00B54C09"/>
    <w:rsid w:val="00B5559C"/>
    <w:rsid w:val="00B555F5"/>
    <w:rsid w:val="00B56ADB"/>
    <w:rsid w:val="00B56D64"/>
    <w:rsid w:val="00B5786B"/>
    <w:rsid w:val="00B57A46"/>
    <w:rsid w:val="00B622F0"/>
    <w:rsid w:val="00B62BF3"/>
    <w:rsid w:val="00B64712"/>
    <w:rsid w:val="00B679D5"/>
    <w:rsid w:val="00B67CA8"/>
    <w:rsid w:val="00B70727"/>
    <w:rsid w:val="00B739A8"/>
    <w:rsid w:val="00B74CDA"/>
    <w:rsid w:val="00B77821"/>
    <w:rsid w:val="00B77C71"/>
    <w:rsid w:val="00B80975"/>
    <w:rsid w:val="00B80EB6"/>
    <w:rsid w:val="00B82169"/>
    <w:rsid w:val="00B82E75"/>
    <w:rsid w:val="00B8371C"/>
    <w:rsid w:val="00B83CB1"/>
    <w:rsid w:val="00B84990"/>
    <w:rsid w:val="00B85C7C"/>
    <w:rsid w:val="00B85DE5"/>
    <w:rsid w:val="00B86F66"/>
    <w:rsid w:val="00B90D3A"/>
    <w:rsid w:val="00B9192D"/>
    <w:rsid w:val="00B91CC8"/>
    <w:rsid w:val="00B933F6"/>
    <w:rsid w:val="00B95F67"/>
    <w:rsid w:val="00B966C2"/>
    <w:rsid w:val="00B97CE8"/>
    <w:rsid w:val="00BA1223"/>
    <w:rsid w:val="00BA34FD"/>
    <w:rsid w:val="00BA3FB4"/>
    <w:rsid w:val="00BA434F"/>
    <w:rsid w:val="00BA798F"/>
    <w:rsid w:val="00BB1439"/>
    <w:rsid w:val="00BB24CA"/>
    <w:rsid w:val="00BB4B1D"/>
    <w:rsid w:val="00BB5298"/>
    <w:rsid w:val="00BB59CD"/>
    <w:rsid w:val="00BB5D47"/>
    <w:rsid w:val="00BC19BC"/>
    <w:rsid w:val="00BC20AD"/>
    <w:rsid w:val="00BC221B"/>
    <w:rsid w:val="00BC36E0"/>
    <w:rsid w:val="00BC36E6"/>
    <w:rsid w:val="00BC39CF"/>
    <w:rsid w:val="00BC41E5"/>
    <w:rsid w:val="00BC4900"/>
    <w:rsid w:val="00BC4E1A"/>
    <w:rsid w:val="00BC571D"/>
    <w:rsid w:val="00BD0E38"/>
    <w:rsid w:val="00BD19BE"/>
    <w:rsid w:val="00BD242C"/>
    <w:rsid w:val="00BD2BAE"/>
    <w:rsid w:val="00BD2C47"/>
    <w:rsid w:val="00BD35A0"/>
    <w:rsid w:val="00BE00A4"/>
    <w:rsid w:val="00BE20EB"/>
    <w:rsid w:val="00BE24C4"/>
    <w:rsid w:val="00BE3A24"/>
    <w:rsid w:val="00BE4CBF"/>
    <w:rsid w:val="00BE503F"/>
    <w:rsid w:val="00BE6514"/>
    <w:rsid w:val="00BF04D6"/>
    <w:rsid w:val="00BF0B87"/>
    <w:rsid w:val="00BF1133"/>
    <w:rsid w:val="00BF38AD"/>
    <w:rsid w:val="00BF4161"/>
    <w:rsid w:val="00BF708C"/>
    <w:rsid w:val="00BF7D01"/>
    <w:rsid w:val="00C01632"/>
    <w:rsid w:val="00C0199C"/>
    <w:rsid w:val="00C05AE0"/>
    <w:rsid w:val="00C05ED5"/>
    <w:rsid w:val="00C106F7"/>
    <w:rsid w:val="00C118B9"/>
    <w:rsid w:val="00C11B5A"/>
    <w:rsid w:val="00C11CCA"/>
    <w:rsid w:val="00C1214B"/>
    <w:rsid w:val="00C13A54"/>
    <w:rsid w:val="00C14E8A"/>
    <w:rsid w:val="00C15448"/>
    <w:rsid w:val="00C17DF3"/>
    <w:rsid w:val="00C22F37"/>
    <w:rsid w:val="00C25EF2"/>
    <w:rsid w:val="00C26A13"/>
    <w:rsid w:val="00C273BB"/>
    <w:rsid w:val="00C273CB"/>
    <w:rsid w:val="00C2787F"/>
    <w:rsid w:val="00C279A2"/>
    <w:rsid w:val="00C302F1"/>
    <w:rsid w:val="00C3305D"/>
    <w:rsid w:val="00C35807"/>
    <w:rsid w:val="00C3598E"/>
    <w:rsid w:val="00C35E99"/>
    <w:rsid w:val="00C408F3"/>
    <w:rsid w:val="00C4194F"/>
    <w:rsid w:val="00C41AA2"/>
    <w:rsid w:val="00C427B0"/>
    <w:rsid w:val="00C42FB3"/>
    <w:rsid w:val="00C434F9"/>
    <w:rsid w:val="00C43CC0"/>
    <w:rsid w:val="00C44039"/>
    <w:rsid w:val="00C457C3"/>
    <w:rsid w:val="00C45D4A"/>
    <w:rsid w:val="00C45F6C"/>
    <w:rsid w:val="00C50A08"/>
    <w:rsid w:val="00C50B91"/>
    <w:rsid w:val="00C5166E"/>
    <w:rsid w:val="00C5217B"/>
    <w:rsid w:val="00C53D91"/>
    <w:rsid w:val="00C54241"/>
    <w:rsid w:val="00C54AFF"/>
    <w:rsid w:val="00C5504B"/>
    <w:rsid w:val="00C57A4A"/>
    <w:rsid w:val="00C57D98"/>
    <w:rsid w:val="00C600DD"/>
    <w:rsid w:val="00C60133"/>
    <w:rsid w:val="00C6200F"/>
    <w:rsid w:val="00C62DF0"/>
    <w:rsid w:val="00C64906"/>
    <w:rsid w:val="00C65044"/>
    <w:rsid w:val="00C67A92"/>
    <w:rsid w:val="00C70B54"/>
    <w:rsid w:val="00C70C96"/>
    <w:rsid w:val="00C731A3"/>
    <w:rsid w:val="00C7373E"/>
    <w:rsid w:val="00C73ABB"/>
    <w:rsid w:val="00C73AF3"/>
    <w:rsid w:val="00C749E9"/>
    <w:rsid w:val="00C77369"/>
    <w:rsid w:val="00C77E57"/>
    <w:rsid w:val="00C77FD9"/>
    <w:rsid w:val="00C91EF8"/>
    <w:rsid w:val="00C92156"/>
    <w:rsid w:val="00C922F6"/>
    <w:rsid w:val="00C92E18"/>
    <w:rsid w:val="00C93E35"/>
    <w:rsid w:val="00C95437"/>
    <w:rsid w:val="00C95927"/>
    <w:rsid w:val="00CA2232"/>
    <w:rsid w:val="00CA22F6"/>
    <w:rsid w:val="00CA2A16"/>
    <w:rsid w:val="00CA4D4D"/>
    <w:rsid w:val="00CA6CB5"/>
    <w:rsid w:val="00CA746E"/>
    <w:rsid w:val="00CB0F02"/>
    <w:rsid w:val="00CB2411"/>
    <w:rsid w:val="00CB2BE3"/>
    <w:rsid w:val="00CB2E41"/>
    <w:rsid w:val="00CB5BB9"/>
    <w:rsid w:val="00CB7EE4"/>
    <w:rsid w:val="00CC1AB2"/>
    <w:rsid w:val="00CC2871"/>
    <w:rsid w:val="00CC28BB"/>
    <w:rsid w:val="00CC4301"/>
    <w:rsid w:val="00CC64C9"/>
    <w:rsid w:val="00CC7710"/>
    <w:rsid w:val="00CD1262"/>
    <w:rsid w:val="00CD1D35"/>
    <w:rsid w:val="00CD319E"/>
    <w:rsid w:val="00CD4B97"/>
    <w:rsid w:val="00CD4D6D"/>
    <w:rsid w:val="00CD5226"/>
    <w:rsid w:val="00CD7761"/>
    <w:rsid w:val="00CE1258"/>
    <w:rsid w:val="00CE26A0"/>
    <w:rsid w:val="00CE298F"/>
    <w:rsid w:val="00CE31CE"/>
    <w:rsid w:val="00CE4C34"/>
    <w:rsid w:val="00CE6E8D"/>
    <w:rsid w:val="00CF0181"/>
    <w:rsid w:val="00CF2243"/>
    <w:rsid w:val="00CF2446"/>
    <w:rsid w:val="00CF2469"/>
    <w:rsid w:val="00CF2694"/>
    <w:rsid w:val="00CF3B4E"/>
    <w:rsid w:val="00CF5E9C"/>
    <w:rsid w:val="00CF7CE6"/>
    <w:rsid w:val="00D00216"/>
    <w:rsid w:val="00D02504"/>
    <w:rsid w:val="00D03A74"/>
    <w:rsid w:val="00D041A0"/>
    <w:rsid w:val="00D059E2"/>
    <w:rsid w:val="00D05B43"/>
    <w:rsid w:val="00D070AF"/>
    <w:rsid w:val="00D1099A"/>
    <w:rsid w:val="00D10A79"/>
    <w:rsid w:val="00D11E6D"/>
    <w:rsid w:val="00D1278F"/>
    <w:rsid w:val="00D12A13"/>
    <w:rsid w:val="00D13900"/>
    <w:rsid w:val="00D144DA"/>
    <w:rsid w:val="00D14ECB"/>
    <w:rsid w:val="00D160E3"/>
    <w:rsid w:val="00D21BF6"/>
    <w:rsid w:val="00D227F5"/>
    <w:rsid w:val="00D2378B"/>
    <w:rsid w:val="00D267A0"/>
    <w:rsid w:val="00D27174"/>
    <w:rsid w:val="00D276C5"/>
    <w:rsid w:val="00D31398"/>
    <w:rsid w:val="00D31630"/>
    <w:rsid w:val="00D32E81"/>
    <w:rsid w:val="00D3429B"/>
    <w:rsid w:val="00D345E5"/>
    <w:rsid w:val="00D352D0"/>
    <w:rsid w:val="00D40B9B"/>
    <w:rsid w:val="00D4338F"/>
    <w:rsid w:val="00D45E09"/>
    <w:rsid w:val="00D46F34"/>
    <w:rsid w:val="00D508FA"/>
    <w:rsid w:val="00D521C9"/>
    <w:rsid w:val="00D534D7"/>
    <w:rsid w:val="00D53764"/>
    <w:rsid w:val="00D540FD"/>
    <w:rsid w:val="00D543BC"/>
    <w:rsid w:val="00D54D7C"/>
    <w:rsid w:val="00D56DBE"/>
    <w:rsid w:val="00D57892"/>
    <w:rsid w:val="00D616FE"/>
    <w:rsid w:val="00D61AE1"/>
    <w:rsid w:val="00D63339"/>
    <w:rsid w:val="00D64BF7"/>
    <w:rsid w:val="00D6572E"/>
    <w:rsid w:val="00D67F68"/>
    <w:rsid w:val="00D70BD6"/>
    <w:rsid w:val="00D7152D"/>
    <w:rsid w:val="00D72703"/>
    <w:rsid w:val="00D73783"/>
    <w:rsid w:val="00D768A5"/>
    <w:rsid w:val="00D77D5E"/>
    <w:rsid w:val="00D80382"/>
    <w:rsid w:val="00D808D8"/>
    <w:rsid w:val="00D8219E"/>
    <w:rsid w:val="00D827A3"/>
    <w:rsid w:val="00D839C3"/>
    <w:rsid w:val="00D846FD"/>
    <w:rsid w:val="00D85490"/>
    <w:rsid w:val="00D85E0B"/>
    <w:rsid w:val="00D87F4A"/>
    <w:rsid w:val="00D9072E"/>
    <w:rsid w:val="00D910F5"/>
    <w:rsid w:val="00D93314"/>
    <w:rsid w:val="00D93349"/>
    <w:rsid w:val="00D9431B"/>
    <w:rsid w:val="00D94783"/>
    <w:rsid w:val="00D947D2"/>
    <w:rsid w:val="00D94AEE"/>
    <w:rsid w:val="00D966BE"/>
    <w:rsid w:val="00DA0F99"/>
    <w:rsid w:val="00DA2B8B"/>
    <w:rsid w:val="00DA35A9"/>
    <w:rsid w:val="00DA6ADC"/>
    <w:rsid w:val="00DB1C2A"/>
    <w:rsid w:val="00DB41EE"/>
    <w:rsid w:val="00DB4D2C"/>
    <w:rsid w:val="00DB4E3C"/>
    <w:rsid w:val="00DB53D9"/>
    <w:rsid w:val="00DB6C51"/>
    <w:rsid w:val="00DC0D28"/>
    <w:rsid w:val="00DC175A"/>
    <w:rsid w:val="00DC1866"/>
    <w:rsid w:val="00DC30C2"/>
    <w:rsid w:val="00DC4A2D"/>
    <w:rsid w:val="00DC6F62"/>
    <w:rsid w:val="00DD0533"/>
    <w:rsid w:val="00DD36FB"/>
    <w:rsid w:val="00DD44BF"/>
    <w:rsid w:val="00DD46F5"/>
    <w:rsid w:val="00DD4E62"/>
    <w:rsid w:val="00DD5C93"/>
    <w:rsid w:val="00DD6007"/>
    <w:rsid w:val="00DE069A"/>
    <w:rsid w:val="00DE1351"/>
    <w:rsid w:val="00DE3EEC"/>
    <w:rsid w:val="00DE602C"/>
    <w:rsid w:val="00DE6A62"/>
    <w:rsid w:val="00DF0081"/>
    <w:rsid w:val="00DF0BCA"/>
    <w:rsid w:val="00DF12BF"/>
    <w:rsid w:val="00DF19D5"/>
    <w:rsid w:val="00DF31A2"/>
    <w:rsid w:val="00DF448B"/>
    <w:rsid w:val="00DF497C"/>
    <w:rsid w:val="00DF5C37"/>
    <w:rsid w:val="00DF6088"/>
    <w:rsid w:val="00DF67F5"/>
    <w:rsid w:val="00DF7794"/>
    <w:rsid w:val="00E00CDC"/>
    <w:rsid w:val="00E020D5"/>
    <w:rsid w:val="00E051A8"/>
    <w:rsid w:val="00E052C0"/>
    <w:rsid w:val="00E061A0"/>
    <w:rsid w:val="00E1058A"/>
    <w:rsid w:val="00E106EA"/>
    <w:rsid w:val="00E130F6"/>
    <w:rsid w:val="00E1404C"/>
    <w:rsid w:val="00E201D8"/>
    <w:rsid w:val="00E26523"/>
    <w:rsid w:val="00E277A8"/>
    <w:rsid w:val="00E27B1F"/>
    <w:rsid w:val="00E317B5"/>
    <w:rsid w:val="00E33377"/>
    <w:rsid w:val="00E335E3"/>
    <w:rsid w:val="00E354C0"/>
    <w:rsid w:val="00E35DBD"/>
    <w:rsid w:val="00E370D5"/>
    <w:rsid w:val="00E372E6"/>
    <w:rsid w:val="00E42C24"/>
    <w:rsid w:val="00E44518"/>
    <w:rsid w:val="00E477DA"/>
    <w:rsid w:val="00E47EE4"/>
    <w:rsid w:val="00E50197"/>
    <w:rsid w:val="00E5366F"/>
    <w:rsid w:val="00E54268"/>
    <w:rsid w:val="00E55C6E"/>
    <w:rsid w:val="00E56919"/>
    <w:rsid w:val="00E56A2B"/>
    <w:rsid w:val="00E57640"/>
    <w:rsid w:val="00E57D49"/>
    <w:rsid w:val="00E57FEE"/>
    <w:rsid w:val="00E60FED"/>
    <w:rsid w:val="00E61918"/>
    <w:rsid w:val="00E62A14"/>
    <w:rsid w:val="00E63676"/>
    <w:rsid w:val="00E640A6"/>
    <w:rsid w:val="00E640AB"/>
    <w:rsid w:val="00E64D4B"/>
    <w:rsid w:val="00E656FC"/>
    <w:rsid w:val="00E65AE1"/>
    <w:rsid w:val="00E65D6A"/>
    <w:rsid w:val="00E66448"/>
    <w:rsid w:val="00E667A0"/>
    <w:rsid w:val="00E71441"/>
    <w:rsid w:val="00E72E45"/>
    <w:rsid w:val="00E73657"/>
    <w:rsid w:val="00E766F0"/>
    <w:rsid w:val="00E778AD"/>
    <w:rsid w:val="00E80605"/>
    <w:rsid w:val="00E809A7"/>
    <w:rsid w:val="00E80E65"/>
    <w:rsid w:val="00E8333D"/>
    <w:rsid w:val="00E83395"/>
    <w:rsid w:val="00E86C16"/>
    <w:rsid w:val="00E87092"/>
    <w:rsid w:val="00E87D9B"/>
    <w:rsid w:val="00E9001E"/>
    <w:rsid w:val="00E90210"/>
    <w:rsid w:val="00E92E73"/>
    <w:rsid w:val="00E94EB5"/>
    <w:rsid w:val="00E95A10"/>
    <w:rsid w:val="00E95EEC"/>
    <w:rsid w:val="00EA08AB"/>
    <w:rsid w:val="00EA359E"/>
    <w:rsid w:val="00EA3642"/>
    <w:rsid w:val="00EA4561"/>
    <w:rsid w:val="00EA6914"/>
    <w:rsid w:val="00EA6C59"/>
    <w:rsid w:val="00EB1636"/>
    <w:rsid w:val="00EB1940"/>
    <w:rsid w:val="00EB2E02"/>
    <w:rsid w:val="00EB3598"/>
    <w:rsid w:val="00EB4066"/>
    <w:rsid w:val="00EB50A4"/>
    <w:rsid w:val="00EB5675"/>
    <w:rsid w:val="00EC0BC0"/>
    <w:rsid w:val="00EC1CC9"/>
    <w:rsid w:val="00EC21A7"/>
    <w:rsid w:val="00EC2608"/>
    <w:rsid w:val="00EC3215"/>
    <w:rsid w:val="00EC62D4"/>
    <w:rsid w:val="00EC637B"/>
    <w:rsid w:val="00EC79A9"/>
    <w:rsid w:val="00EE0023"/>
    <w:rsid w:val="00EE04A0"/>
    <w:rsid w:val="00EE0F2B"/>
    <w:rsid w:val="00EE1182"/>
    <w:rsid w:val="00EE378B"/>
    <w:rsid w:val="00EE395A"/>
    <w:rsid w:val="00EE50A0"/>
    <w:rsid w:val="00EE7706"/>
    <w:rsid w:val="00EE782E"/>
    <w:rsid w:val="00EE7F5A"/>
    <w:rsid w:val="00EF0434"/>
    <w:rsid w:val="00EF22B3"/>
    <w:rsid w:val="00EF2A1F"/>
    <w:rsid w:val="00EF6882"/>
    <w:rsid w:val="00EF7625"/>
    <w:rsid w:val="00EF7989"/>
    <w:rsid w:val="00F00E68"/>
    <w:rsid w:val="00F021A0"/>
    <w:rsid w:val="00F044FA"/>
    <w:rsid w:val="00F07B47"/>
    <w:rsid w:val="00F10C66"/>
    <w:rsid w:val="00F11876"/>
    <w:rsid w:val="00F11C0A"/>
    <w:rsid w:val="00F12E1A"/>
    <w:rsid w:val="00F13685"/>
    <w:rsid w:val="00F176AF"/>
    <w:rsid w:val="00F23E43"/>
    <w:rsid w:val="00F24533"/>
    <w:rsid w:val="00F27DD8"/>
    <w:rsid w:val="00F313F5"/>
    <w:rsid w:val="00F317F9"/>
    <w:rsid w:val="00F318DC"/>
    <w:rsid w:val="00F34406"/>
    <w:rsid w:val="00F34E5C"/>
    <w:rsid w:val="00F35AA5"/>
    <w:rsid w:val="00F37060"/>
    <w:rsid w:val="00F37BB9"/>
    <w:rsid w:val="00F412FC"/>
    <w:rsid w:val="00F41422"/>
    <w:rsid w:val="00F42B24"/>
    <w:rsid w:val="00F4363F"/>
    <w:rsid w:val="00F43A87"/>
    <w:rsid w:val="00F45CD5"/>
    <w:rsid w:val="00F46A3A"/>
    <w:rsid w:val="00F4734F"/>
    <w:rsid w:val="00F528ED"/>
    <w:rsid w:val="00F53888"/>
    <w:rsid w:val="00F542F2"/>
    <w:rsid w:val="00F54E02"/>
    <w:rsid w:val="00F55B90"/>
    <w:rsid w:val="00F55CF2"/>
    <w:rsid w:val="00F56469"/>
    <w:rsid w:val="00F57622"/>
    <w:rsid w:val="00F604F1"/>
    <w:rsid w:val="00F61148"/>
    <w:rsid w:val="00F61E51"/>
    <w:rsid w:val="00F625DF"/>
    <w:rsid w:val="00F64A52"/>
    <w:rsid w:val="00F64D10"/>
    <w:rsid w:val="00F65B30"/>
    <w:rsid w:val="00F66ABB"/>
    <w:rsid w:val="00F70701"/>
    <w:rsid w:val="00F70789"/>
    <w:rsid w:val="00F723D1"/>
    <w:rsid w:val="00F72C39"/>
    <w:rsid w:val="00F73CA7"/>
    <w:rsid w:val="00F7770A"/>
    <w:rsid w:val="00F80AC5"/>
    <w:rsid w:val="00F812F0"/>
    <w:rsid w:val="00F822A4"/>
    <w:rsid w:val="00F8325D"/>
    <w:rsid w:val="00F836CA"/>
    <w:rsid w:val="00F83D44"/>
    <w:rsid w:val="00F87EA9"/>
    <w:rsid w:val="00F93771"/>
    <w:rsid w:val="00F9588B"/>
    <w:rsid w:val="00F96B54"/>
    <w:rsid w:val="00F97DA0"/>
    <w:rsid w:val="00FA093A"/>
    <w:rsid w:val="00FA14FE"/>
    <w:rsid w:val="00FA18DF"/>
    <w:rsid w:val="00FA3A42"/>
    <w:rsid w:val="00FA4493"/>
    <w:rsid w:val="00FA5C6C"/>
    <w:rsid w:val="00FA6A14"/>
    <w:rsid w:val="00FA70DC"/>
    <w:rsid w:val="00FA7454"/>
    <w:rsid w:val="00FA745F"/>
    <w:rsid w:val="00FA76AC"/>
    <w:rsid w:val="00FA77EC"/>
    <w:rsid w:val="00FA7B62"/>
    <w:rsid w:val="00FA7B6C"/>
    <w:rsid w:val="00FA7CE3"/>
    <w:rsid w:val="00FB00AA"/>
    <w:rsid w:val="00FB15E3"/>
    <w:rsid w:val="00FB29CA"/>
    <w:rsid w:val="00FB313B"/>
    <w:rsid w:val="00FB3E3C"/>
    <w:rsid w:val="00FB73F1"/>
    <w:rsid w:val="00FB774C"/>
    <w:rsid w:val="00FC07B2"/>
    <w:rsid w:val="00FC25C1"/>
    <w:rsid w:val="00FC757B"/>
    <w:rsid w:val="00FD0504"/>
    <w:rsid w:val="00FD35F6"/>
    <w:rsid w:val="00FD36F9"/>
    <w:rsid w:val="00FD3A19"/>
    <w:rsid w:val="00FD3B21"/>
    <w:rsid w:val="00FD7446"/>
    <w:rsid w:val="00FE31CE"/>
    <w:rsid w:val="00FE31FE"/>
    <w:rsid w:val="00FE577F"/>
    <w:rsid w:val="00FE7267"/>
    <w:rsid w:val="00FE7D76"/>
    <w:rsid w:val="00FF71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7A0"/>
    <w:pPr>
      <w:widowControl w:val="0"/>
    </w:pPr>
    <w:rPr>
      <w:kern w:val="2"/>
      <w:sz w:val="24"/>
      <w:szCs w:val="24"/>
    </w:rPr>
  </w:style>
  <w:style w:type="paragraph" w:styleId="3">
    <w:name w:val="heading 3"/>
    <w:basedOn w:val="a"/>
    <w:qFormat/>
    <w:rsid w:val="005D796D"/>
    <w:pPr>
      <w:widowControl/>
      <w:spacing w:before="100" w:beforeAutospacing="1" w:after="100" w:afterAutospacing="1"/>
      <w:jc w:val="center"/>
      <w:outlineLvl w:val="2"/>
    </w:pPr>
    <w:rPr>
      <w:rFonts w:ascii="新細明體" w:hAnsi="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618A"/>
    <w:rPr>
      <w:rFonts w:ascii="Arial" w:hAnsi="Arial"/>
      <w:sz w:val="18"/>
      <w:szCs w:val="18"/>
    </w:rPr>
  </w:style>
  <w:style w:type="paragraph" w:styleId="a4">
    <w:name w:val="Date"/>
    <w:basedOn w:val="a"/>
    <w:next w:val="a"/>
    <w:rsid w:val="00E667A0"/>
    <w:pPr>
      <w:jc w:val="right"/>
    </w:pPr>
    <w:rPr>
      <w:sz w:val="26"/>
    </w:rPr>
  </w:style>
  <w:style w:type="paragraph" w:styleId="2">
    <w:name w:val="Body Text Indent 2"/>
    <w:basedOn w:val="a"/>
    <w:rsid w:val="00E667A0"/>
    <w:pPr>
      <w:spacing w:afterLines="50" w:after="180" w:line="360" w:lineRule="auto"/>
      <w:ind w:firstLine="480"/>
      <w:jc w:val="both"/>
    </w:pPr>
    <w:rPr>
      <w:sz w:val="26"/>
      <w:shd w:val="pct15" w:color="auto" w:fill="FFFFFF"/>
    </w:rPr>
  </w:style>
  <w:style w:type="paragraph" w:styleId="a5">
    <w:name w:val="header"/>
    <w:basedOn w:val="a"/>
    <w:rsid w:val="000F4FD9"/>
    <w:pPr>
      <w:tabs>
        <w:tab w:val="center" w:pos="4153"/>
        <w:tab w:val="right" w:pos="8306"/>
      </w:tabs>
      <w:snapToGrid w:val="0"/>
    </w:pPr>
    <w:rPr>
      <w:sz w:val="20"/>
      <w:szCs w:val="20"/>
    </w:rPr>
  </w:style>
  <w:style w:type="paragraph" w:styleId="a6">
    <w:name w:val="footer"/>
    <w:basedOn w:val="a"/>
    <w:rsid w:val="000F4FD9"/>
    <w:pPr>
      <w:tabs>
        <w:tab w:val="center" w:pos="4153"/>
        <w:tab w:val="right" w:pos="8306"/>
      </w:tabs>
      <w:snapToGrid w:val="0"/>
    </w:pPr>
    <w:rPr>
      <w:sz w:val="20"/>
      <w:szCs w:val="20"/>
    </w:rPr>
  </w:style>
  <w:style w:type="character" w:styleId="a7">
    <w:name w:val="page number"/>
    <w:basedOn w:val="a0"/>
    <w:rsid w:val="000F4FD9"/>
  </w:style>
  <w:style w:type="character" w:styleId="a8">
    <w:name w:val="annotation reference"/>
    <w:semiHidden/>
    <w:rsid w:val="00A2225C"/>
    <w:rPr>
      <w:sz w:val="18"/>
      <w:szCs w:val="18"/>
    </w:rPr>
  </w:style>
  <w:style w:type="paragraph" w:styleId="a9">
    <w:name w:val="annotation text"/>
    <w:basedOn w:val="a"/>
    <w:semiHidden/>
    <w:rsid w:val="00A2225C"/>
  </w:style>
  <w:style w:type="paragraph" w:styleId="aa">
    <w:name w:val="annotation subject"/>
    <w:basedOn w:val="a9"/>
    <w:next w:val="a9"/>
    <w:semiHidden/>
    <w:rsid w:val="00A2225C"/>
    <w:rPr>
      <w:b/>
      <w:bCs/>
    </w:rPr>
  </w:style>
  <w:style w:type="paragraph" w:styleId="ab">
    <w:name w:val="footnote text"/>
    <w:basedOn w:val="a"/>
    <w:semiHidden/>
    <w:rsid w:val="00A2225C"/>
    <w:pPr>
      <w:snapToGrid w:val="0"/>
    </w:pPr>
    <w:rPr>
      <w:sz w:val="20"/>
      <w:szCs w:val="20"/>
    </w:rPr>
  </w:style>
  <w:style w:type="character" w:styleId="ac">
    <w:name w:val="footnote reference"/>
    <w:semiHidden/>
    <w:rsid w:val="00A2225C"/>
    <w:rPr>
      <w:vertAlign w:val="superscript"/>
    </w:rPr>
  </w:style>
  <w:style w:type="paragraph" w:styleId="Web">
    <w:name w:val="Normal (Web)"/>
    <w:basedOn w:val="a"/>
    <w:rsid w:val="005D796D"/>
    <w:pPr>
      <w:widowControl/>
      <w:spacing w:before="100" w:beforeAutospacing="1" w:after="100" w:afterAutospacing="1"/>
    </w:pPr>
    <w:rPr>
      <w:rFonts w:ascii="新細明體" w:hAnsi="新細明體"/>
      <w:kern w:val="0"/>
    </w:rPr>
  </w:style>
  <w:style w:type="character" w:styleId="ad">
    <w:name w:val="Strong"/>
    <w:qFormat/>
    <w:rsid w:val="001F5E3D"/>
    <w:rPr>
      <w:b/>
      <w:bCs/>
    </w:rPr>
  </w:style>
  <w:style w:type="paragraph" w:styleId="ae">
    <w:name w:val="List Paragraph"/>
    <w:basedOn w:val="a"/>
    <w:uiPriority w:val="34"/>
    <w:qFormat/>
    <w:rsid w:val="00BC490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7A0"/>
    <w:pPr>
      <w:widowControl w:val="0"/>
    </w:pPr>
    <w:rPr>
      <w:kern w:val="2"/>
      <w:sz w:val="24"/>
      <w:szCs w:val="24"/>
    </w:rPr>
  </w:style>
  <w:style w:type="paragraph" w:styleId="3">
    <w:name w:val="heading 3"/>
    <w:basedOn w:val="a"/>
    <w:qFormat/>
    <w:rsid w:val="005D796D"/>
    <w:pPr>
      <w:widowControl/>
      <w:spacing w:before="100" w:beforeAutospacing="1" w:after="100" w:afterAutospacing="1"/>
      <w:jc w:val="center"/>
      <w:outlineLvl w:val="2"/>
    </w:pPr>
    <w:rPr>
      <w:rFonts w:ascii="新細明體" w:hAnsi="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618A"/>
    <w:rPr>
      <w:rFonts w:ascii="Arial" w:hAnsi="Arial"/>
      <w:sz w:val="18"/>
      <w:szCs w:val="18"/>
    </w:rPr>
  </w:style>
  <w:style w:type="paragraph" w:styleId="a4">
    <w:name w:val="Date"/>
    <w:basedOn w:val="a"/>
    <w:next w:val="a"/>
    <w:rsid w:val="00E667A0"/>
    <w:pPr>
      <w:jc w:val="right"/>
    </w:pPr>
    <w:rPr>
      <w:sz w:val="26"/>
    </w:rPr>
  </w:style>
  <w:style w:type="paragraph" w:styleId="2">
    <w:name w:val="Body Text Indent 2"/>
    <w:basedOn w:val="a"/>
    <w:rsid w:val="00E667A0"/>
    <w:pPr>
      <w:spacing w:afterLines="50" w:after="180" w:line="360" w:lineRule="auto"/>
      <w:ind w:firstLine="480"/>
      <w:jc w:val="both"/>
    </w:pPr>
    <w:rPr>
      <w:sz w:val="26"/>
      <w:shd w:val="pct15" w:color="auto" w:fill="FFFFFF"/>
    </w:rPr>
  </w:style>
  <w:style w:type="paragraph" w:styleId="a5">
    <w:name w:val="header"/>
    <w:basedOn w:val="a"/>
    <w:rsid w:val="000F4FD9"/>
    <w:pPr>
      <w:tabs>
        <w:tab w:val="center" w:pos="4153"/>
        <w:tab w:val="right" w:pos="8306"/>
      </w:tabs>
      <w:snapToGrid w:val="0"/>
    </w:pPr>
    <w:rPr>
      <w:sz w:val="20"/>
      <w:szCs w:val="20"/>
    </w:rPr>
  </w:style>
  <w:style w:type="paragraph" w:styleId="a6">
    <w:name w:val="footer"/>
    <w:basedOn w:val="a"/>
    <w:rsid w:val="000F4FD9"/>
    <w:pPr>
      <w:tabs>
        <w:tab w:val="center" w:pos="4153"/>
        <w:tab w:val="right" w:pos="8306"/>
      </w:tabs>
      <w:snapToGrid w:val="0"/>
    </w:pPr>
    <w:rPr>
      <w:sz w:val="20"/>
      <w:szCs w:val="20"/>
    </w:rPr>
  </w:style>
  <w:style w:type="character" w:styleId="a7">
    <w:name w:val="page number"/>
    <w:basedOn w:val="a0"/>
    <w:rsid w:val="000F4FD9"/>
  </w:style>
  <w:style w:type="character" w:styleId="a8">
    <w:name w:val="annotation reference"/>
    <w:semiHidden/>
    <w:rsid w:val="00A2225C"/>
    <w:rPr>
      <w:sz w:val="18"/>
      <w:szCs w:val="18"/>
    </w:rPr>
  </w:style>
  <w:style w:type="paragraph" w:styleId="a9">
    <w:name w:val="annotation text"/>
    <w:basedOn w:val="a"/>
    <w:semiHidden/>
    <w:rsid w:val="00A2225C"/>
  </w:style>
  <w:style w:type="paragraph" w:styleId="aa">
    <w:name w:val="annotation subject"/>
    <w:basedOn w:val="a9"/>
    <w:next w:val="a9"/>
    <w:semiHidden/>
    <w:rsid w:val="00A2225C"/>
    <w:rPr>
      <w:b/>
      <w:bCs/>
    </w:rPr>
  </w:style>
  <w:style w:type="paragraph" w:styleId="ab">
    <w:name w:val="footnote text"/>
    <w:basedOn w:val="a"/>
    <w:semiHidden/>
    <w:rsid w:val="00A2225C"/>
    <w:pPr>
      <w:snapToGrid w:val="0"/>
    </w:pPr>
    <w:rPr>
      <w:sz w:val="20"/>
      <w:szCs w:val="20"/>
    </w:rPr>
  </w:style>
  <w:style w:type="character" w:styleId="ac">
    <w:name w:val="footnote reference"/>
    <w:semiHidden/>
    <w:rsid w:val="00A2225C"/>
    <w:rPr>
      <w:vertAlign w:val="superscript"/>
    </w:rPr>
  </w:style>
  <w:style w:type="paragraph" w:styleId="Web">
    <w:name w:val="Normal (Web)"/>
    <w:basedOn w:val="a"/>
    <w:rsid w:val="005D796D"/>
    <w:pPr>
      <w:widowControl/>
      <w:spacing w:before="100" w:beforeAutospacing="1" w:after="100" w:afterAutospacing="1"/>
    </w:pPr>
    <w:rPr>
      <w:rFonts w:ascii="新細明體" w:hAnsi="新細明體"/>
      <w:kern w:val="0"/>
    </w:rPr>
  </w:style>
  <w:style w:type="character" w:styleId="ad">
    <w:name w:val="Strong"/>
    <w:qFormat/>
    <w:rsid w:val="001F5E3D"/>
    <w:rPr>
      <w:b/>
      <w:bCs/>
    </w:rPr>
  </w:style>
  <w:style w:type="paragraph" w:styleId="ae">
    <w:name w:val="List Paragraph"/>
    <w:basedOn w:val="a"/>
    <w:uiPriority w:val="34"/>
    <w:qFormat/>
    <w:rsid w:val="00BC490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147B-A169-4722-9DCF-141AC8F9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7483</Words>
  <Characters>453</Characters>
  <Application>Microsoft Office Word</Application>
  <DocSecurity>0</DocSecurity>
  <Lines>3</Lines>
  <Paragraphs>15</Paragraphs>
  <ScaleCrop>false</ScaleCrop>
  <Company>Court</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ienghal</dc:creator>
  <cp:lastModifiedBy>LouIengHa</cp:lastModifiedBy>
  <cp:revision>2</cp:revision>
  <cp:lastPrinted>2019-10-29T09:41:00Z</cp:lastPrinted>
  <dcterms:created xsi:type="dcterms:W3CDTF">2022-03-26T03:47:00Z</dcterms:created>
  <dcterms:modified xsi:type="dcterms:W3CDTF">2022-03-26T03:47:00Z</dcterms:modified>
</cp:coreProperties>
</file>