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3BF" w14:textId="1729F299" w:rsidR="00F13E00" w:rsidRPr="009A3DE1" w:rsidRDefault="00F13E00" w:rsidP="00F13E00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9A3DE1">
        <w:rPr>
          <w:rFonts w:ascii="標楷體" w:eastAsia="標楷體" w:hAnsi="標楷體" w:hint="eastAsia"/>
          <w:b/>
          <w:sz w:val="44"/>
          <w:szCs w:val="44"/>
          <w:lang w:eastAsia="zh-TW"/>
        </w:rPr>
        <w:t>親屬法</w:t>
      </w:r>
    </w:p>
    <w:p w14:paraId="23AD3506" w14:textId="77777777" w:rsidR="00F95209" w:rsidRPr="009A3DE1" w:rsidRDefault="005A2965" w:rsidP="00F13E00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9A3DE1">
        <w:rPr>
          <w:rFonts w:ascii="標楷體" w:eastAsia="標楷體" w:hAnsi="標楷體" w:hint="eastAsia"/>
          <w:b/>
          <w:sz w:val="44"/>
          <w:szCs w:val="44"/>
          <w:lang w:eastAsia="zh-TW"/>
        </w:rPr>
        <w:t>教學大綱</w:t>
      </w:r>
    </w:p>
    <w:p w14:paraId="644AB56A" w14:textId="77777777" w:rsidR="00F13E00" w:rsidRPr="009A3DE1" w:rsidRDefault="00F13E00" w:rsidP="006A2CCB">
      <w:pPr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2F18ECB7" w14:textId="77777777" w:rsidR="00F13E00" w:rsidRPr="009A3DE1" w:rsidRDefault="00F13E00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6A3DE7CB" w14:textId="3DF069E4" w:rsidR="005A2965" w:rsidRDefault="00385547" w:rsidP="00385547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9A3DE1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教學內容</w:t>
      </w:r>
    </w:p>
    <w:p w14:paraId="4B1B1A3B" w14:textId="77777777" w:rsidR="00AC4FE4" w:rsidRPr="009A3DE1" w:rsidRDefault="00AC4FE4" w:rsidP="00385547">
      <w:pPr>
        <w:rPr>
          <w:rFonts w:ascii="標楷體" w:eastAsia="標楷體" w:hAnsi="標楷體"/>
          <w:b/>
          <w:sz w:val="32"/>
          <w:szCs w:val="32"/>
          <w:lang w:eastAsia="zh-TW"/>
        </w:rPr>
      </w:pPr>
    </w:p>
    <w:p w14:paraId="63F2433E" w14:textId="77777777" w:rsidR="00385547" w:rsidRPr="00AC4FE4" w:rsidRDefault="00385547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一、血親/親子關係</w:t>
      </w:r>
    </w:p>
    <w:p w14:paraId="600A7BF6" w14:textId="77777777" w:rsidR="001E66B6" w:rsidRPr="00AC4FE4" w:rsidRDefault="001E66B6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二、收養</w:t>
      </w:r>
    </w:p>
    <w:p w14:paraId="0D426F6D" w14:textId="77777777" w:rsidR="001E66B6" w:rsidRPr="00AC4FE4" w:rsidRDefault="001E66B6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三、婚姻</w:t>
      </w:r>
    </w:p>
    <w:p w14:paraId="48B96105" w14:textId="77777777" w:rsidR="001E66B6" w:rsidRPr="00AC4FE4" w:rsidRDefault="001E66B6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四、姻親關係</w:t>
      </w:r>
    </w:p>
    <w:p w14:paraId="0ACBCE0B" w14:textId="77777777" w:rsidR="001E66B6" w:rsidRPr="00AC4FE4" w:rsidRDefault="001E66B6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五、事實</w:t>
      </w:r>
      <w:proofErr w:type="gramStart"/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婚</w:t>
      </w:r>
      <w:proofErr w:type="gramEnd"/>
    </w:p>
    <w:p w14:paraId="47AC2B93" w14:textId="5E6A4473" w:rsidR="00D27C07" w:rsidRDefault="001E66B6" w:rsidP="00385547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AC4FE4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六、扶養</w:t>
      </w:r>
    </w:p>
    <w:p w14:paraId="2DD0DF1F" w14:textId="77777777" w:rsidR="00D27C07" w:rsidRDefault="00D27C07">
      <w:pPr>
        <w:widowControl/>
        <w:jc w:val="lef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bCs/>
          <w:sz w:val="28"/>
          <w:szCs w:val="28"/>
          <w:lang w:eastAsia="zh-TW"/>
        </w:rPr>
        <w:br w:type="page"/>
      </w:r>
    </w:p>
    <w:p w14:paraId="1D0BA591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62DB666B" w14:textId="77777777" w:rsidR="001E66B6" w:rsidRPr="009A3DE1" w:rsidRDefault="001E66B6" w:rsidP="00385547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9A3DE1">
        <w:rPr>
          <w:rFonts w:ascii="標楷體" w:eastAsia="標楷體" w:hAnsi="標楷體" w:hint="eastAsia"/>
          <w:b/>
          <w:sz w:val="28"/>
          <w:szCs w:val="28"/>
          <w:lang w:eastAsia="zh-TW"/>
        </w:rPr>
        <w:t>一、血親/親子關係</w:t>
      </w:r>
    </w:p>
    <w:p w14:paraId="15F5004C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（一）血親關係</w:t>
      </w:r>
    </w:p>
    <w:p w14:paraId="73192CE3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1、概念</w:t>
      </w:r>
    </w:p>
    <w:p w14:paraId="27DBF308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2、親等計算</w:t>
      </w:r>
    </w:p>
    <w:p w14:paraId="3C074968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3、限制</w:t>
      </w:r>
    </w:p>
    <w:p w14:paraId="7E97E9E7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24F53BEE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（二）親子關係</w:t>
      </w:r>
    </w:p>
    <w:p w14:paraId="6F08DA6C" w14:textId="77777777" w:rsidR="001E66B6" w:rsidRPr="009A3DE1" w:rsidRDefault="001E66B6" w:rsidP="00385547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1、親子關係的設立</w:t>
      </w:r>
    </w:p>
    <w:p w14:paraId="239D19C8" w14:textId="1F101993" w:rsidR="001E66B6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（1） 一般原則 </w:t>
      </w:r>
    </w:p>
    <w:p w14:paraId="47B1E648" w14:textId="77777777" w:rsidR="009A3DE1" w:rsidRPr="009A3DE1" w:rsidRDefault="009A3DE1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5CF2E087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（2） 母親身份的確立方法 </w:t>
      </w:r>
    </w:p>
    <w:p w14:paraId="6C9C70D5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A.  於登記局中母親身份之記載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出生之發生不足一年或已滿一年情況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48A19AC2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B.  母親身份之聲明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聲明方式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7ABAD638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依職權調查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期限，原告正當性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6CB92910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D.  司法確認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原告正當性、期限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E19C519" w14:textId="545369D6" w:rsidR="001E66B6" w:rsidRPr="009A3DE1" w:rsidRDefault="001E66B6" w:rsidP="009A3DE1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E.  對母親身份之爭議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指以 A 及  B 之方法對出生登記中母親身份之記載提起之爭議  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1DAB3DA1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D681265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（3） 父親身份的確立方法 </w:t>
      </w:r>
    </w:p>
    <w:p w14:paraId="2C967C6B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A.  父親身份的推定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一般推定、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誤想婚姻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、婚前受孕、終止同居後受孕、</w:t>
      </w:r>
    </w:p>
    <w:p w14:paraId="242FD28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雙重推定、指出丈夫不具有父親身份的聲明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9ACBE6A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B.  認領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性質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311D0E2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依職權調查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期限，原告正當性，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準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用依職權調查母親身份之訴的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規</w:t>
      </w:r>
      <w:proofErr w:type="gramEnd"/>
    </w:p>
    <w:p w14:paraId="6D8748E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7A05188A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D.  司法確認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原告正當性、期限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  2</w:t>
      </w:r>
    </w:p>
    <w:p w14:paraId="308B56C0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E.  對父親身份的爭議、對婚前受孕子女之父親之身份之爭議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指針對以 </w:t>
      </w:r>
      <w:proofErr w:type="spell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i</w:t>
      </w:r>
      <w:proofErr w:type="spellEnd"/>
    </w:p>
    <w:p w14:paraId="6C8BDDE3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之方法對出生登記中父親身份的記載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4CCC3B02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F.  對認領的爭議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原告、被告正當性、效力，期限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200AB25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7EB28819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（4）  醫學輔助生育 </w:t>
      </w:r>
    </w:p>
    <w:p w14:paraId="221C293C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定義 </w:t>
      </w:r>
    </w:p>
    <w:p w14:paraId="2D66A9E8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 母親身份 </w:t>
      </w:r>
    </w:p>
    <w:p w14:paraId="5690EB38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父親身份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推定、同意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109C9731" w14:textId="77777777" w:rsidR="001E66B6" w:rsidRPr="009A3DE1" w:rsidRDefault="001E66B6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D.  效力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例外：不生繼承效力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6260F017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3DECF54C" w14:textId="1E46BB54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（三）親子關係的效力 </w:t>
      </w:r>
    </w:p>
    <w:p w14:paraId="468B3D8D" w14:textId="375FF37B" w:rsidR="001E66B6" w:rsidRPr="00566B79" w:rsidRDefault="00566B79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1</w:t>
      </w:r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 xml:space="preserve">.  </w:t>
      </w:r>
      <w:r w:rsidRPr="00566B79">
        <w:rPr>
          <w:rFonts w:ascii="標楷體" w:eastAsia="標楷體" w:hAnsi="標楷體" w:hint="eastAsia"/>
          <w:sz w:val="24"/>
          <w:szCs w:val="24"/>
          <w:lang w:eastAsia="zh-TW"/>
        </w:rPr>
        <w:t>親權之</w:t>
      </w:r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>一般原則</w:t>
      </w:r>
      <w:proofErr w:type="gramStart"/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>存續期、性質</w:t>
      </w:r>
      <w:proofErr w:type="gramStart"/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566B79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66C51500" w14:textId="35B772B3" w:rsidR="001E66B6" w:rsidRPr="009A3DE1" w:rsidRDefault="00566B79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2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.  涉及子女人身性質的親權 </w:t>
      </w:r>
    </w:p>
    <w:p w14:paraId="31C3857B" w14:textId="06971138" w:rsidR="001E66B6" w:rsidRPr="009A3DE1" w:rsidRDefault="00566B79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3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.  涉及子女財產性質的親權 </w:t>
      </w:r>
    </w:p>
    <w:p w14:paraId="34E4896A" w14:textId="78C4A2CD" w:rsidR="001E66B6" w:rsidRPr="009A3DE1" w:rsidRDefault="00566B79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4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.  親權之行使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正當性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E787728" w14:textId="500E6E5B" w:rsidR="001E66B6" w:rsidRPr="009A3DE1" w:rsidRDefault="00566B79" w:rsidP="001E66B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5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.  親權之行使的禁止及限制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原因、法院的介入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46EE4D2D" w14:textId="0F1434B4" w:rsidR="00D34496" w:rsidRDefault="00566B79" w:rsidP="00D3449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6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.  親權之彌補  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–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 監護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監護人之指定、親屬會議、監護監督人、終止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財產之管理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管理人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153689C1" w14:textId="34C8DCCB" w:rsidR="00D34496" w:rsidRDefault="00D34496">
      <w:pPr>
        <w:widowControl/>
        <w:jc w:val="left"/>
        <w:rPr>
          <w:rFonts w:ascii="標楷體" w:eastAsia="標楷體" w:hAnsi="標楷體"/>
          <w:sz w:val="24"/>
          <w:szCs w:val="24"/>
          <w:lang w:eastAsia="zh-TW"/>
        </w:rPr>
      </w:pPr>
    </w:p>
    <w:p w14:paraId="00210D9F" w14:textId="77777777" w:rsidR="001E66B6" w:rsidRPr="009A3DE1" w:rsidRDefault="001E66B6" w:rsidP="00D3449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</w:p>
    <w:p w14:paraId="3F139C20" w14:textId="77777777" w:rsidR="001E66B6" w:rsidRPr="00560BB1" w:rsidRDefault="001E66B6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560BB1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二  收養 </w:t>
      </w:r>
    </w:p>
    <w:p w14:paraId="6E595D3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（一）收養模式  -  現今《民法典》與 1966 年《民法典》的比較 </w:t>
      </w:r>
    </w:p>
    <w:p w14:paraId="755A5F98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1.  現今《民法典》  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–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 獨一種 </w:t>
      </w:r>
    </w:p>
    <w:p w14:paraId="27124F38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2.  1966 年《民法典》  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–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 完全收養及不完全收養 </w:t>
      </w:r>
    </w:p>
    <w:p w14:paraId="0475DAB5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3854108B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收養關係的設定 </w:t>
      </w:r>
    </w:p>
    <w:p w14:paraId="0C0B8695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法院判決原則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與內地收養制度的比較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136ACB0" w14:textId="77777777" w:rsidR="009044AD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198BBC5F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收養之實質要件 </w:t>
      </w:r>
    </w:p>
    <w:p w14:paraId="20C65996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1.  一般要件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對被收養人帶來好處及其他利益的考慮與平衡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7467977F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2.  收養之同意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方式、時間、廢止、失效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452BD255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3.  必須聽取之意見 </w:t>
      </w:r>
    </w:p>
    <w:p w14:paraId="3D30CFA3" w14:textId="77777777" w:rsidR="009044AD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149A6201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收養之形式要件 </w:t>
      </w:r>
    </w:p>
    <w:p w14:paraId="01AE8647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1.  收養人之要件 </w:t>
      </w:r>
    </w:p>
    <w:p w14:paraId="1F61F0F7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2.  得被收養人之要件及所處之情況 </w:t>
      </w:r>
    </w:p>
    <w:p w14:paraId="0B65FCCB" w14:textId="77777777" w:rsidR="009044AD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629F9FAE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（五）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收養的程序 </w:t>
      </w:r>
    </w:p>
    <w:p w14:paraId="20BDCF4C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1.  聲請 </w:t>
      </w:r>
    </w:p>
    <w:p w14:paraId="2CC65E78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2.  試行收養期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﹝行政交托及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司法交托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  3</w:t>
      </w:r>
    </w:p>
    <w:p w14:paraId="5122DC7D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 xml:space="preserve">3. 社會報告 </w:t>
      </w:r>
    </w:p>
    <w:p w14:paraId="41717868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4. 法院判決 </w:t>
      </w:r>
    </w:p>
    <w:p w14:paraId="3925152F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5EAA7906" w14:textId="77777777" w:rsidR="001E66B6" w:rsidRPr="009A3DE1" w:rsidRDefault="009044AD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（六）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收養的效力 </w:t>
      </w:r>
    </w:p>
    <w:p w14:paraId="4CF1C9EC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1. 被收養人的地位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與收養人的關係、與親生父母的關係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39C1545" w14:textId="5A2F15C8" w:rsidR="00D34496" w:rsidRDefault="001E66B6" w:rsidP="00D3449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2. 收養之不可廢止性及例外性的再審 </w:t>
      </w:r>
    </w:p>
    <w:p w14:paraId="5B63796A" w14:textId="77777777" w:rsidR="00D34496" w:rsidRDefault="00D34496">
      <w:pPr>
        <w:widowControl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14:paraId="1E205A26" w14:textId="77777777" w:rsidR="001E66B6" w:rsidRPr="009A3DE1" w:rsidRDefault="001E66B6" w:rsidP="00D3449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05E8D2BC" w14:textId="68158F04" w:rsidR="001E66B6" w:rsidRDefault="00065699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D34496">
        <w:rPr>
          <w:rFonts w:ascii="標楷體" w:eastAsia="標楷體" w:hAnsi="標楷體" w:hint="eastAsia"/>
          <w:b/>
          <w:sz w:val="28"/>
          <w:szCs w:val="28"/>
          <w:lang w:eastAsia="zh-TW"/>
        </w:rPr>
        <w:t>三</w:t>
      </w:r>
      <w:r w:rsidR="001E66B6" w:rsidRPr="00D3449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婚姻 </w:t>
      </w:r>
    </w:p>
    <w:p w14:paraId="1E1C7E7F" w14:textId="77777777" w:rsidR="003C6810" w:rsidRPr="00D34496" w:rsidRDefault="003C6810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4FE92188" w14:textId="77777777" w:rsidR="001E66B6" w:rsidRPr="009A3DE1" w:rsidRDefault="0006569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結婚 </w:t>
      </w:r>
    </w:p>
    <w:p w14:paraId="3DB830D4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締結婚姻之能力 </w:t>
      </w:r>
    </w:p>
    <w:p w14:paraId="5E36075C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絕對禁止性障礙及其效果 </w:t>
      </w:r>
    </w:p>
    <w:p w14:paraId="59C54629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相對禁止性障礙及其效果 </w:t>
      </w:r>
    </w:p>
    <w:p w14:paraId="002188C3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妨礙性障礙及其效果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對婚姻中財產性質效力之特別制裁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2188499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47C6B99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婚姻之締結 </w:t>
      </w:r>
    </w:p>
    <w:p w14:paraId="3438757E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形式  /  程序 </w:t>
      </w:r>
    </w:p>
    <w:p w14:paraId="7500435A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公開及莊嚴原則 </w:t>
      </w:r>
    </w:p>
    <w:p w14:paraId="2624D912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B.  一般程序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結婚申請、許可批示、期限、應參與之人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6EA8474D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緊急結婚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成立前提、臨時登記、相應之認可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48C444E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2C94AD3C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結婚之意思表示 </w:t>
      </w:r>
    </w:p>
    <w:p w14:paraId="5EC6A3AC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性質 </w:t>
      </w:r>
    </w:p>
    <w:p w14:paraId="0581E544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 婚姻效力的接受 </w:t>
      </w:r>
    </w:p>
    <w:p w14:paraId="634504C5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C.  結婚人的意思表示之無瑕疵推定 </w:t>
      </w:r>
    </w:p>
    <w:p w14:paraId="69D4D3B4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24CA8DF0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登記 </w:t>
      </w:r>
    </w:p>
    <w:p w14:paraId="09B3F919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登錄 </w:t>
      </w:r>
    </w:p>
    <w:p w14:paraId="5867DD71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 xml:space="preserve">B.  轉錄 </w:t>
      </w:r>
    </w:p>
    <w:p w14:paraId="23A71C15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登記的效力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追溯效力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CED17E9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EBB2E06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（4）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非有效之婚姻 </w:t>
      </w:r>
    </w:p>
    <w:p w14:paraId="3DE150A1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有效規則 </w:t>
      </w:r>
    </w:p>
    <w:p w14:paraId="07DF1007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 不成立的婚姻及其效力 </w:t>
      </w:r>
    </w:p>
    <w:p w14:paraId="1376805D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C.  可撤銷的婚姻 </w:t>
      </w:r>
    </w:p>
    <w:p w14:paraId="44271C84" w14:textId="77777777" w:rsidR="001E66B6" w:rsidRPr="009A3DE1" w:rsidRDefault="001E66B6" w:rsidP="006A0313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a) 提起正當性、期間 </w:t>
      </w:r>
    </w:p>
    <w:p w14:paraId="2B7DDEA7" w14:textId="77777777" w:rsidR="001E66B6" w:rsidRPr="009A3DE1" w:rsidRDefault="001E66B6" w:rsidP="006A0313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b) 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誤想婚姻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及其效力 </w:t>
      </w:r>
    </w:p>
    <w:p w14:paraId="16D37953" w14:textId="77777777" w:rsidR="006A0313" w:rsidRPr="009A3DE1" w:rsidRDefault="006A0313" w:rsidP="006A0313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</w:p>
    <w:p w14:paraId="49E211A9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婚姻的效力 </w:t>
      </w:r>
    </w:p>
    <w:p w14:paraId="00CC5631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人身方面之效力 </w:t>
      </w:r>
    </w:p>
    <w:p w14:paraId="3A134874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夫妻平等原則 </w:t>
      </w:r>
    </w:p>
    <w:p w14:paraId="10CF5BE4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尊重、忠誠、同居、合作、扶持之義務 </w:t>
      </w:r>
    </w:p>
    <w:p w14:paraId="7E04FF48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20C27BF9" w14:textId="77777777" w:rsidR="001E66B6" w:rsidRPr="009A3DE1" w:rsidRDefault="006A0313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財產方面之效力 </w:t>
      </w:r>
    </w:p>
    <w:p w14:paraId="601ABB06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夫妻財產的管理 </w:t>
      </w:r>
    </w:p>
    <w:p w14:paraId="7C85BE87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B.  夫妻之債務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雙方負責之債務及個人債務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1EB29B8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C.  婚姻協定 </w:t>
      </w:r>
    </w:p>
    <w:p w14:paraId="25AC483E" w14:textId="77777777" w:rsidR="001E66B6" w:rsidRPr="009A3DE1" w:rsidRDefault="001E66B6" w:rsidP="006A0313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a)  婚前協定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自由原則、訂立能力及方式、協定的生效及失效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D5C488A" w14:textId="77777777" w:rsidR="001E66B6" w:rsidRPr="009A3DE1" w:rsidRDefault="001E66B6" w:rsidP="006A0313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b)  婚後協定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範圍及制度，適用婚前協定的相應規定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857C40E" w14:textId="77777777" w:rsidR="00276E36" w:rsidRPr="009A3DE1" w:rsidRDefault="00276E36" w:rsidP="006A0313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</w:p>
    <w:p w14:paraId="1A091279" w14:textId="77777777" w:rsidR="001E66B6" w:rsidRPr="009A3DE1" w:rsidRDefault="001E66B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 xml:space="preserve">D.  財產制度 </w:t>
      </w:r>
    </w:p>
    <w:p w14:paraId="69166713" w14:textId="77777777" w:rsidR="00276E36" w:rsidRPr="009A3DE1" w:rsidRDefault="00276E36" w:rsidP="006A0313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</w:p>
    <w:p w14:paraId="1B7D29CF" w14:textId="77777777" w:rsidR="001E66B6" w:rsidRPr="009A3DE1" w:rsidRDefault="001E66B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a)  取得財產分享制 </w:t>
      </w:r>
    </w:p>
    <w:p w14:paraId="2BB99EE0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proofErr w:type="spell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i</w:t>
      </w:r>
      <w:proofErr w:type="spell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.  內容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採用該制度時之權利，停止採用該制度時可能所生之債權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0B10C574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ii. 個人財產及個人財產中供分享財產的範圍 </w:t>
      </w:r>
    </w:p>
    <w:p w14:paraId="1D73B0F5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iii.為確定該制度所生之債權數額而進之計算、補償、扣除 </w:t>
      </w:r>
    </w:p>
    <w:p w14:paraId="7A587B38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iv. 對所生之債權之放棄、要求清償 </w:t>
      </w:r>
    </w:p>
    <w:p w14:paraId="2F7C19D7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v. 對夫妻之債權人產生之效力及承擔之財產範圍 </w:t>
      </w:r>
    </w:p>
    <w:p w14:paraId="46F828BE" w14:textId="77777777" w:rsidR="00276E36" w:rsidRPr="009A3DE1" w:rsidRDefault="00276E3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</w:p>
    <w:p w14:paraId="393FE07C" w14:textId="77777777" w:rsidR="001E66B6" w:rsidRPr="009A3DE1" w:rsidRDefault="001E66B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b)  取得共同財產制 </w:t>
      </w:r>
    </w:p>
    <w:p w14:paraId="6293B841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proofErr w:type="spell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i</w:t>
      </w:r>
      <w:proofErr w:type="spell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.  內容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採用該制度時之權利，停止採用該制度時所生之權利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8109331" w14:textId="77777777" w:rsidR="001E66B6" w:rsidRPr="009A3DE1" w:rsidRDefault="001E66B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ii.共同擁有之財產及個人財產的範圍 </w:t>
      </w:r>
    </w:p>
    <w:p w14:paraId="0EEBA921" w14:textId="77777777" w:rsidR="00276E36" w:rsidRPr="009A3DE1" w:rsidRDefault="00276E36" w:rsidP="00276E36">
      <w:pPr>
        <w:ind w:firstLineChars="400" w:firstLine="960"/>
        <w:rPr>
          <w:rFonts w:ascii="標楷體" w:eastAsia="標楷體" w:hAnsi="標楷體"/>
          <w:sz w:val="24"/>
          <w:szCs w:val="24"/>
          <w:lang w:eastAsia="zh-TW"/>
        </w:rPr>
      </w:pPr>
    </w:p>
    <w:p w14:paraId="01C400CD" w14:textId="77777777" w:rsidR="001E66B6" w:rsidRPr="009A3DE1" w:rsidRDefault="001E66B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c)  一般共同財產制 </w:t>
      </w:r>
    </w:p>
    <w:p w14:paraId="575F7996" w14:textId="77777777" w:rsidR="00276E36" w:rsidRPr="009A3DE1" w:rsidRDefault="00276E3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</w:p>
    <w:p w14:paraId="04C8436B" w14:textId="77777777" w:rsidR="001E66B6" w:rsidRPr="009A3DE1" w:rsidRDefault="001E66B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d)  分別財產制 </w:t>
      </w:r>
    </w:p>
    <w:p w14:paraId="11CF14C6" w14:textId="77777777" w:rsidR="00276E36" w:rsidRPr="009A3DE1" w:rsidRDefault="00276E36" w:rsidP="00276E36">
      <w:pPr>
        <w:ind w:firstLineChars="300" w:firstLine="720"/>
        <w:rPr>
          <w:rFonts w:ascii="標楷體" w:eastAsia="標楷體" w:hAnsi="標楷體"/>
          <w:sz w:val="24"/>
          <w:szCs w:val="24"/>
          <w:lang w:eastAsia="zh-TW"/>
        </w:rPr>
      </w:pPr>
    </w:p>
    <w:p w14:paraId="505CAC8C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E.  因結婚而作之贈與 </w:t>
      </w:r>
    </w:p>
    <w:p w14:paraId="0E544EAE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F.  夫妻間之贈與 </w:t>
      </w:r>
    </w:p>
    <w:p w14:paraId="535B1831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G.  法院裁判之分產 </w:t>
      </w:r>
    </w:p>
    <w:p w14:paraId="68BBE55E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B5B31A0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婚姻之解銷 </w:t>
      </w:r>
    </w:p>
    <w:p w14:paraId="448B7EDF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1.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原因 </w:t>
      </w:r>
    </w:p>
    <w:p w14:paraId="368F103F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離婚 </w:t>
      </w:r>
    </w:p>
    <w:p w14:paraId="296F158F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死亡 </w:t>
      </w:r>
    </w:p>
    <w:p w14:paraId="259ACC2B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特別情況：推定死亡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不解銷婚姻，但若再婚，則視為以離婚方式解銷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E975075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DF6733E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離婚 </w:t>
      </w:r>
    </w:p>
    <w:p w14:paraId="02AFEA18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（1）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兩願離婚 </w:t>
      </w:r>
    </w:p>
    <w:p w14:paraId="31B442A8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A.  要件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結婚逾一年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6B6DF9C1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 具權限宣告離婚之實體及其效力：民事登記局及初級法院民事法庭 </w:t>
      </w:r>
    </w:p>
    <w:p w14:paraId="75133FF8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C.  離婚過程：第一次會議、第二次會議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或有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、判決   5</w:t>
      </w:r>
    </w:p>
    <w:p w14:paraId="7E8A0BCB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10F370F2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（2）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訴訟離婚 </w:t>
      </w:r>
    </w:p>
    <w:p w14:paraId="6640B3AD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A.  要件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過錯違反夫妻義務，以致不可能繼續共同生活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5B39E3CA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B.  具權限宣告離婚之實體：初級法院民事法庭 </w:t>
      </w:r>
    </w:p>
    <w:p w14:paraId="56E4A475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C.  提起之正當性 </w:t>
      </w:r>
    </w:p>
    <w:p w14:paraId="1C8601CF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D.  對唯一或主要過錯人之適用制度 </w:t>
      </w:r>
    </w:p>
    <w:p w14:paraId="5C002BDA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0D9F393E" w14:textId="77777777" w:rsidR="001E66B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（3）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離婚之效力 </w:t>
      </w:r>
    </w:p>
    <w:p w14:paraId="3063BA58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A.  產生離婚效力之日 </w:t>
      </w:r>
    </w:p>
    <w:p w14:paraId="7CF08BFF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B.  財產之分割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於離婚判決確定後，按司法或非司法途徑進行之</w:t>
      </w:r>
      <w:proofErr w:type="gramStart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337A129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C.  扶養之義務 </w:t>
      </w:r>
    </w:p>
    <w:p w14:paraId="782E6E8B" w14:textId="77777777" w:rsidR="001E66B6" w:rsidRPr="009A3DE1" w:rsidRDefault="001E66B6" w:rsidP="00276E36">
      <w:pPr>
        <w:ind w:firstLineChars="200" w:firstLine="480"/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D.  姻親關係之消滅 </w:t>
      </w:r>
    </w:p>
    <w:p w14:paraId="2853C3BB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lastRenderedPageBreak/>
        <w:t xml:space="preserve"> </w:t>
      </w:r>
    </w:p>
    <w:p w14:paraId="3588BA05" w14:textId="26B10382" w:rsidR="00411B64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死亡  -  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解銷婚姻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，但不消滅姻親關係 </w:t>
      </w:r>
    </w:p>
    <w:p w14:paraId="2D761930" w14:textId="77777777" w:rsidR="00276E36" w:rsidRPr="009A3DE1" w:rsidRDefault="00276E36" w:rsidP="001E66B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595532EC" w14:textId="77777777" w:rsidR="001E66B6" w:rsidRPr="00411B64" w:rsidRDefault="00361CF9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411B64">
        <w:rPr>
          <w:rFonts w:ascii="標楷體" w:eastAsia="標楷體" w:hAnsi="標楷體" w:hint="eastAsia"/>
          <w:b/>
          <w:sz w:val="28"/>
          <w:szCs w:val="28"/>
          <w:lang w:eastAsia="zh-TW"/>
        </w:rPr>
        <w:t>四</w:t>
      </w:r>
      <w:r w:rsidR="001E66B6" w:rsidRPr="00411B6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姻親關係 </w:t>
      </w:r>
    </w:p>
    <w:p w14:paraId="348F7129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概念 </w:t>
      </w:r>
    </w:p>
    <w:p w14:paraId="7DF4FB2C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姻親關係的要素 </w:t>
      </w:r>
    </w:p>
    <w:p w14:paraId="3A54B98D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姻親關係的終止 </w:t>
      </w:r>
    </w:p>
    <w:p w14:paraId="5F5F25B8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死亡：不終止 </w:t>
      </w:r>
    </w:p>
    <w:p w14:paraId="6036F954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離婚：終止 </w:t>
      </w:r>
    </w:p>
    <w:p w14:paraId="38080487" w14:textId="77777777" w:rsidR="001E66B6" w:rsidRPr="009A3DE1" w:rsidRDefault="00361CF9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3.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推定死亡：不終止 </w:t>
      </w:r>
    </w:p>
    <w:p w14:paraId="26A26FEF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40ACE2D7" w14:textId="77777777" w:rsidR="001E66B6" w:rsidRPr="00B52F03" w:rsidRDefault="00C51430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B52F03">
        <w:rPr>
          <w:rFonts w:ascii="標楷體" w:eastAsia="標楷體" w:hAnsi="標楷體" w:hint="eastAsia"/>
          <w:b/>
          <w:sz w:val="28"/>
          <w:szCs w:val="28"/>
          <w:lang w:eastAsia="zh-TW"/>
        </w:rPr>
        <w:t>五</w:t>
      </w:r>
      <w:r w:rsidR="001E66B6" w:rsidRPr="00B52F0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事實</w:t>
      </w:r>
      <w:proofErr w:type="gramStart"/>
      <w:r w:rsidR="001E66B6" w:rsidRPr="00B52F03">
        <w:rPr>
          <w:rFonts w:ascii="標楷體" w:eastAsia="標楷體" w:hAnsi="標楷體" w:hint="eastAsia"/>
          <w:b/>
          <w:sz w:val="28"/>
          <w:szCs w:val="28"/>
          <w:lang w:eastAsia="zh-TW"/>
        </w:rPr>
        <w:t>婚</w:t>
      </w:r>
      <w:proofErr w:type="gramEnd"/>
      <w:r w:rsidR="001E66B6" w:rsidRPr="00B52F0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p w14:paraId="438722BA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概念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﹝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與夫妻關係之比較</w:t>
      </w:r>
      <w:proofErr w:type="gramStart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>﹞</w:t>
      </w:r>
      <w:proofErr w:type="gramEnd"/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14:paraId="324C247F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產生一般效力的一般條件 </w:t>
      </w:r>
    </w:p>
    <w:p w14:paraId="2E20D755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產生其他效力的條件 </w:t>
      </w:r>
    </w:p>
    <w:p w14:paraId="3CF19E63" w14:textId="77777777" w:rsidR="001E66B6" w:rsidRPr="009A3DE1" w:rsidRDefault="001E66B6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1C5612E2" w14:textId="77777777" w:rsidR="001E66B6" w:rsidRPr="00B52F03" w:rsidRDefault="00C51430" w:rsidP="001E66B6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B52F03">
        <w:rPr>
          <w:rFonts w:ascii="標楷體" w:eastAsia="標楷體" w:hAnsi="標楷體" w:hint="eastAsia"/>
          <w:b/>
          <w:sz w:val="28"/>
          <w:szCs w:val="28"/>
          <w:lang w:eastAsia="zh-TW"/>
        </w:rPr>
        <w:t>六 扶養</w:t>
      </w:r>
    </w:p>
    <w:p w14:paraId="2D1F368E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（一）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概念、程度及方式 </w:t>
      </w:r>
    </w:p>
    <w:p w14:paraId="217C9FE2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臨時扶養 </w:t>
      </w:r>
    </w:p>
    <w:p w14:paraId="450E60B7" w14:textId="77777777" w:rsidR="001E66B6" w:rsidRPr="009A3DE1" w:rsidRDefault="00C51430" w:rsidP="001E66B6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（三）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負有扶養義務之人 </w:t>
      </w:r>
    </w:p>
    <w:p w14:paraId="5783DDB5" w14:textId="48B47C50" w:rsidR="00B606F4" w:rsidRDefault="00C51430" w:rsidP="00B606F4">
      <w:pPr>
        <w:rPr>
          <w:rFonts w:ascii="標楷體" w:eastAsia="標楷體" w:hAnsi="標楷體"/>
          <w:sz w:val="24"/>
          <w:szCs w:val="24"/>
          <w:lang w:eastAsia="zh-TW"/>
        </w:rPr>
      </w:pPr>
      <w:r w:rsidRPr="009A3DE1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="001E66B6" w:rsidRPr="009A3DE1">
        <w:rPr>
          <w:rFonts w:ascii="標楷體" w:eastAsia="標楷體" w:hAnsi="標楷體" w:hint="eastAsia"/>
          <w:sz w:val="24"/>
          <w:szCs w:val="24"/>
          <w:lang w:eastAsia="zh-TW"/>
        </w:rPr>
        <w:t xml:space="preserve">特別規定 </w:t>
      </w:r>
    </w:p>
    <w:p w14:paraId="4F11F5C8" w14:textId="724F1548" w:rsidR="00E4140C" w:rsidRDefault="00E4140C" w:rsidP="00B606F4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99B0E37" w14:textId="500C361B" w:rsidR="00E4140C" w:rsidRPr="008E2ECD" w:rsidRDefault="00E4140C" w:rsidP="00E4140C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8E2ECD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參考書目： </w:t>
      </w:r>
    </w:p>
    <w:p w14:paraId="075E90F4" w14:textId="081C2702" w:rsidR="00E43C15" w:rsidRPr="00715897" w:rsidRDefault="00E43C15" w:rsidP="004E79A7">
      <w:pPr>
        <w:pStyle w:val="a7"/>
        <w:numPr>
          <w:ilvl w:val="0"/>
          <w:numId w:val="2"/>
        </w:numPr>
        <w:ind w:firstLine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715897">
        <w:rPr>
          <w:rFonts w:ascii="Times New Roman" w:eastAsia="標楷體" w:hAnsi="Times New Roman"/>
          <w:sz w:val="24"/>
          <w:szCs w:val="24"/>
          <w:lang w:eastAsia="zh-TW"/>
        </w:rPr>
        <w:t xml:space="preserve">Trigo, Manuel Marcelino </w:t>
      </w:r>
      <w:proofErr w:type="spellStart"/>
      <w:r w:rsidRPr="00715897">
        <w:rPr>
          <w:rFonts w:ascii="Times New Roman" w:eastAsia="標楷體" w:hAnsi="Times New Roman"/>
          <w:sz w:val="24"/>
          <w:szCs w:val="24"/>
          <w:lang w:eastAsia="zh-TW"/>
        </w:rPr>
        <w:t>Escovar</w:t>
      </w:r>
      <w:proofErr w:type="spellEnd"/>
      <w:r w:rsidR="002433A5" w:rsidRPr="00715897">
        <w:rPr>
          <w:rFonts w:ascii="Times New Roman" w:eastAsia="標楷體" w:hAnsi="Times New Roman" w:hint="eastAsia"/>
          <w:sz w:val="24"/>
          <w:szCs w:val="24"/>
        </w:rPr>
        <w:t>（尹思哲）</w:t>
      </w:r>
      <w:r w:rsidRPr="00715897">
        <w:rPr>
          <w:rFonts w:ascii="Times New Roman" w:eastAsia="標楷體" w:hAnsi="Times New Roman" w:hint="eastAsia"/>
          <w:sz w:val="24"/>
          <w:szCs w:val="24"/>
        </w:rPr>
        <w:t>：《</w:t>
      </w:r>
      <w:r w:rsidR="004E79A7" w:rsidRPr="00715897">
        <w:rPr>
          <w:rFonts w:ascii="Times New Roman" w:eastAsia="標楷體" w:hAnsi="Times New Roman" w:hint="eastAsia"/>
          <w:sz w:val="24"/>
          <w:szCs w:val="24"/>
        </w:rPr>
        <w:t>親屬法及繼承法教程</w:t>
      </w:r>
      <w:r w:rsidRPr="00715897">
        <w:rPr>
          <w:rFonts w:ascii="Times New Roman" w:eastAsia="標楷體" w:hAnsi="Times New Roman" w:hint="eastAsia"/>
          <w:sz w:val="24"/>
          <w:szCs w:val="24"/>
        </w:rPr>
        <w:t>》</w:t>
      </w:r>
      <w:r w:rsidR="004E79A7" w:rsidRPr="00715897">
        <w:rPr>
          <w:rFonts w:ascii="Times New Roman" w:eastAsia="標楷體" w:hAnsi="Times New Roman" w:hint="eastAsia"/>
          <w:sz w:val="24"/>
          <w:szCs w:val="24"/>
        </w:rPr>
        <w:t>（第一冊至第三冊）</w:t>
      </w:r>
      <w:r w:rsidRPr="00715897">
        <w:rPr>
          <w:rFonts w:ascii="Times New Roman" w:eastAsia="標楷體" w:hAnsi="Times New Roman" w:hint="eastAsia"/>
          <w:sz w:val="24"/>
          <w:szCs w:val="24"/>
        </w:rPr>
        <w:t>朱琳琳譯</w:t>
      </w:r>
      <w:r w:rsidR="004E79A7" w:rsidRPr="00715897">
        <w:rPr>
          <w:rFonts w:ascii="Times New Roman" w:eastAsia="標楷體" w:hAnsi="Times New Roman" w:hint="eastAsia"/>
          <w:sz w:val="24"/>
          <w:szCs w:val="24"/>
        </w:rPr>
        <w:t>，澳門大學法學院，</w:t>
      </w:r>
      <w:r w:rsidR="004E79A7" w:rsidRPr="00715897">
        <w:rPr>
          <w:rFonts w:ascii="Times New Roman" w:eastAsia="標楷體" w:hAnsi="Times New Roman" w:hint="eastAsia"/>
          <w:sz w:val="24"/>
          <w:szCs w:val="24"/>
        </w:rPr>
        <w:t>2</w:t>
      </w:r>
      <w:r w:rsidR="004E79A7" w:rsidRPr="00715897">
        <w:rPr>
          <w:rFonts w:ascii="Times New Roman" w:eastAsia="標楷體" w:hAnsi="Times New Roman"/>
          <w:sz w:val="24"/>
          <w:szCs w:val="24"/>
        </w:rPr>
        <w:t>019</w:t>
      </w:r>
      <w:r w:rsidR="004E79A7" w:rsidRPr="00715897">
        <w:rPr>
          <w:rFonts w:ascii="Times New Roman" w:eastAsia="標楷體" w:hAnsi="Times New Roman" w:hint="eastAsia"/>
          <w:sz w:val="24"/>
          <w:szCs w:val="24"/>
        </w:rPr>
        <w:t>年版。</w:t>
      </w:r>
    </w:p>
    <w:p w14:paraId="7F84970D" w14:textId="10EDFAA4" w:rsidR="00F02CEB" w:rsidRDefault="00F02CEB" w:rsidP="00F02CEB">
      <w:pPr>
        <w:pStyle w:val="a7"/>
        <w:numPr>
          <w:ilvl w:val="0"/>
          <w:numId w:val="2"/>
        </w:numPr>
        <w:ind w:firstLine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尹思哲統籌：《親屬法及未成年人法研究》（</w:t>
      </w:r>
      <w:r w:rsidRPr="00A71409">
        <w:rPr>
          <w:rFonts w:ascii="標楷體" w:eastAsia="標楷體" w:hAnsi="標楷體" w:hint="eastAsia"/>
          <w:sz w:val="24"/>
          <w:szCs w:val="24"/>
          <w:lang w:eastAsia="zh-TW"/>
        </w:rPr>
        <w:t>中文</w:t>
      </w:r>
      <w:r w:rsidR="00A71409" w:rsidRPr="00A71409">
        <w:rPr>
          <w:rFonts w:ascii="標楷體" w:eastAsia="標楷體" w:hAnsi="標楷體" w:hint="eastAsia"/>
          <w:sz w:val="24"/>
          <w:szCs w:val="24"/>
          <w:lang w:eastAsia="zh-TW"/>
        </w:rPr>
        <w:t>原文</w:t>
      </w:r>
      <w:r w:rsidRPr="00A71409">
        <w:rPr>
          <w:rFonts w:ascii="標楷體" w:eastAsia="標楷體" w:hAnsi="標楷體" w:hint="eastAsia"/>
          <w:sz w:val="24"/>
          <w:szCs w:val="24"/>
          <w:lang w:eastAsia="zh-TW"/>
        </w:rPr>
        <w:t>版），法律</w:t>
      </w: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及司法培訓中心，</w:t>
      </w: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2</w:t>
      </w:r>
      <w:r w:rsidRPr="00715897">
        <w:rPr>
          <w:rFonts w:ascii="Times New Roman" w:eastAsia="標楷體" w:hAnsi="Times New Roman"/>
          <w:sz w:val="24"/>
          <w:szCs w:val="24"/>
          <w:lang w:eastAsia="zh-TW"/>
        </w:rPr>
        <w:t>017</w:t>
      </w: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年版。</w:t>
      </w:r>
    </w:p>
    <w:p w14:paraId="40A70C75" w14:textId="462103FD" w:rsidR="00D23A1D" w:rsidRDefault="00D23A1D" w:rsidP="00DE47A7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尹思哲統籌：《親屬法及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未成年人法的司法見解及法例》（中文版</w:t>
      </w:r>
      <w:r w:rsidRPr="00F66133">
        <w:rPr>
          <w:rFonts w:ascii="標楷體" w:eastAsia="標楷體" w:hAnsi="標楷體" w:hint="eastAsia"/>
          <w:sz w:val="24"/>
          <w:szCs w:val="24"/>
          <w:lang w:eastAsia="zh-TW"/>
        </w:rPr>
        <w:t>），</w:t>
      </w:r>
      <w:r w:rsidR="00F66133" w:rsidRPr="00F66133">
        <w:rPr>
          <w:rFonts w:ascii="標楷體" w:eastAsia="標楷體" w:hAnsi="標楷體" w:hint="eastAsia"/>
          <w:sz w:val="24"/>
          <w:szCs w:val="24"/>
          <w:lang w:eastAsia="zh-TW"/>
        </w:rPr>
        <w:t>鄧志強譯，</w:t>
      </w:r>
      <w:r w:rsidRPr="00F66133">
        <w:rPr>
          <w:rFonts w:ascii="標楷體" w:eastAsia="標楷體" w:hAnsi="標楷體" w:hint="eastAsia"/>
          <w:sz w:val="24"/>
          <w:szCs w:val="24"/>
          <w:lang w:eastAsia="zh-TW"/>
        </w:rPr>
        <w:t>法律及司法培訓中心，</w:t>
      </w:r>
      <w:r w:rsidRPr="00F66133">
        <w:rPr>
          <w:rFonts w:ascii="標楷體" w:eastAsia="標楷體" w:hAnsi="標楷體"/>
          <w:sz w:val="24"/>
          <w:szCs w:val="24"/>
          <w:lang w:eastAsia="zh-TW"/>
        </w:rPr>
        <w:t>2017</w:t>
      </w:r>
      <w:r w:rsidRPr="00F66133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7BA2CAB6" w14:textId="67449DEA" w:rsidR="00C03A1A" w:rsidRPr="00C03A1A" w:rsidRDefault="00C03A1A" w:rsidP="00DE47A7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威廉</w:t>
      </w:r>
      <w:r w:rsidRPr="00C03A1A">
        <w:rPr>
          <w:rFonts w:ascii="標楷體" w:eastAsia="標楷體" w:hAnsi="標楷體"/>
          <w:sz w:val="24"/>
          <w:szCs w:val="24"/>
          <w:lang w:eastAsia="zh-TW"/>
        </w:rPr>
        <w:t>.</w:t>
      </w:r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德奧利維拉，法蘭西斯科</w:t>
      </w:r>
      <w:r w:rsidRPr="00C03A1A">
        <w:rPr>
          <w:rFonts w:ascii="標楷體" w:eastAsia="標楷體" w:hAnsi="標楷體"/>
          <w:sz w:val="24"/>
          <w:szCs w:val="24"/>
          <w:lang w:eastAsia="zh-TW"/>
        </w:rPr>
        <w:t>.</w:t>
      </w:r>
      <w:proofErr w:type="gramStart"/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佩雷拉</w:t>
      </w:r>
      <w:proofErr w:type="gramEnd"/>
      <w:r w:rsidRPr="00C03A1A">
        <w:rPr>
          <w:rFonts w:ascii="標楷體" w:eastAsia="標楷體" w:hAnsi="標楷體"/>
          <w:sz w:val="24"/>
          <w:szCs w:val="24"/>
          <w:lang w:eastAsia="zh-TW"/>
        </w:rPr>
        <w:t>.</w:t>
      </w:r>
      <w:proofErr w:type="gramStart"/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科埃略</w:t>
      </w:r>
      <w:r>
        <w:rPr>
          <w:rFonts w:ascii="標楷體" w:hAnsi="標楷體" w:hint="eastAsia"/>
          <w:sz w:val="24"/>
          <w:szCs w:val="24"/>
          <w:lang w:eastAsia="zh-TW"/>
        </w:rPr>
        <w:t xml:space="preserve"> </w:t>
      </w:r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著</w:t>
      </w:r>
      <w:proofErr w:type="gramEnd"/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：《親屬法教程》，林笑雲譯，法律出版社，</w:t>
      </w:r>
      <w:r w:rsidRPr="00C03A1A">
        <w:rPr>
          <w:rFonts w:ascii="標楷體" w:eastAsia="標楷體" w:hAnsi="標楷體"/>
          <w:sz w:val="24"/>
          <w:szCs w:val="24"/>
          <w:lang w:eastAsia="zh-TW"/>
        </w:rPr>
        <w:t>2019</w:t>
      </w:r>
      <w:r w:rsidRPr="00C03A1A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40DD90F7" w14:textId="2C42A883" w:rsidR="002433A5" w:rsidRPr="00715897" w:rsidRDefault="002433A5" w:rsidP="002433A5">
      <w:pPr>
        <w:pStyle w:val="a7"/>
        <w:numPr>
          <w:ilvl w:val="0"/>
          <w:numId w:val="2"/>
        </w:numPr>
        <w:ind w:firstLineChars="0"/>
        <w:rPr>
          <w:rFonts w:ascii="Times New Roman" w:eastAsia="標楷體" w:hAnsi="Times New Roman"/>
          <w:sz w:val="24"/>
          <w:szCs w:val="24"/>
          <w:lang w:eastAsia="zh-TW"/>
        </w:rPr>
      </w:pP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漢英：《澳門家庭法》，澳門基金會，</w:t>
      </w: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1996</w:t>
      </w:r>
      <w:r w:rsidRPr="00715897">
        <w:rPr>
          <w:rFonts w:ascii="Times New Roman" w:eastAsia="標楷體" w:hAnsi="Times New Roman" w:hint="eastAsia"/>
          <w:sz w:val="24"/>
          <w:szCs w:val="24"/>
          <w:lang w:eastAsia="zh-TW"/>
        </w:rPr>
        <w:t>年版。</w:t>
      </w:r>
    </w:p>
    <w:p w14:paraId="0C7D3611" w14:textId="3B037758" w:rsidR="00E4140C" w:rsidRPr="006D063B" w:rsidRDefault="00F02CEB" w:rsidP="00F02CEB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劉高龍、趙國強主編：</w:t>
      </w:r>
      <w:r w:rsidR="00E4140C" w:rsidRPr="006D063B">
        <w:rPr>
          <w:rFonts w:ascii="標楷體" w:eastAsia="標楷體" w:hAnsi="標楷體" w:hint="eastAsia"/>
          <w:sz w:val="24"/>
          <w:szCs w:val="24"/>
          <w:lang w:eastAsia="zh-TW"/>
        </w:rPr>
        <w:t>《澳門法律新論》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="002433A5" w:rsidRPr="006D063B">
        <w:rPr>
          <w:rFonts w:ascii="標楷體" w:eastAsia="標楷體" w:hAnsi="標楷體" w:hint="eastAsia"/>
          <w:sz w:val="24"/>
          <w:szCs w:val="24"/>
          <w:lang w:eastAsia="zh-TW"/>
        </w:rPr>
        <w:t>上卷及下卷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="00E4140C" w:rsidRPr="006D063B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社會科學文獻出版社、澳門基金會，2</w:t>
      </w:r>
      <w:r w:rsidRPr="006D063B">
        <w:rPr>
          <w:rFonts w:ascii="標楷體" w:eastAsia="標楷體" w:hAnsi="標楷體"/>
          <w:sz w:val="24"/>
          <w:szCs w:val="24"/>
          <w:lang w:eastAsia="zh-TW"/>
        </w:rPr>
        <w:t>011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46E9A2FF" w14:textId="282DDE43" w:rsidR="00BB1291" w:rsidRPr="006D063B" w:rsidRDefault="00BB1291" w:rsidP="00BB1291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李淑華：《親屬法概論》，澳門理工學院</w:t>
      </w:r>
      <w:r w:rsidR="00E43C15" w:rsidRPr="006D063B"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行政暨公職局，2</w:t>
      </w:r>
      <w:r w:rsidRPr="006D063B">
        <w:rPr>
          <w:rFonts w:ascii="標楷體" w:eastAsia="標楷體" w:hAnsi="標楷體"/>
          <w:sz w:val="24"/>
          <w:szCs w:val="24"/>
          <w:lang w:eastAsia="zh-TW"/>
        </w:rPr>
        <w:t>002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3A8FD4BC" w14:textId="346C6666" w:rsidR="00E4140C" w:rsidRPr="006D063B" w:rsidRDefault="00F02CEB" w:rsidP="00F02CEB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林蔭茂：</w:t>
      </w:r>
      <w:r w:rsidR="00BB1291" w:rsidRPr="006D063B">
        <w:rPr>
          <w:rFonts w:ascii="標楷體" w:eastAsia="標楷體" w:hAnsi="標楷體" w:hint="eastAsia"/>
          <w:sz w:val="24"/>
          <w:szCs w:val="24"/>
          <w:lang w:eastAsia="zh-TW"/>
        </w:rPr>
        <w:t>《婚姻家庭法比較研究》，澳門基金會，1</w:t>
      </w:r>
      <w:r w:rsidR="00BB1291" w:rsidRPr="006D063B">
        <w:rPr>
          <w:rFonts w:ascii="標楷體" w:eastAsia="標楷體" w:hAnsi="標楷體"/>
          <w:sz w:val="24"/>
          <w:szCs w:val="24"/>
          <w:lang w:eastAsia="zh-TW"/>
        </w:rPr>
        <w:t>997</w:t>
      </w:r>
      <w:r w:rsidR="00BB1291"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3DA131B8" w14:textId="61AF490E" w:rsidR="002433A5" w:rsidRPr="006D063B" w:rsidRDefault="002433A5" w:rsidP="002433A5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趙燕芳、周友清：《澳門民商及物業登記法律制度》，澳門基金會，2</w:t>
      </w:r>
      <w:r w:rsidRPr="006D063B">
        <w:rPr>
          <w:rFonts w:ascii="標楷體" w:eastAsia="標楷體" w:hAnsi="標楷體"/>
          <w:sz w:val="24"/>
          <w:szCs w:val="24"/>
          <w:lang w:eastAsia="zh-TW"/>
        </w:rPr>
        <w:t>000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1C9299A5" w14:textId="37618FB3" w:rsidR="007365A9" w:rsidRPr="006D063B" w:rsidRDefault="007365A9" w:rsidP="002433A5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唐曉晴</w:t>
      </w:r>
      <w:proofErr w:type="gramEnd"/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編著：《民法一般論題與〈澳門民法典〉總則》（上冊），澳門基金會，社會科學文獻出版社，2</w:t>
      </w:r>
      <w:r w:rsidRPr="006D063B">
        <w:rPr>
          <w:rFonts w:ascii="標楷體" w:eastAsia="標楷體" w:hAnsi="標楷體"/>
          <w:sz w:val="24"/>
          <w:szCs w:val="24"/>
          <w:lang w:eastAsia="zh-TW"/>
        </w:rPr>
        <w:t>014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34D289FD" w14:textId="02713F7E" w:rsidR="007365A9" w:rsidRPr="006D063B" w:rsidRDefault="007365A9" w:rsidP="007365A9">
      <w:pPr>
        <w:pStyle w:val="a7"/>
        <w:numPr>
          <w:ilvl w:val="0"/>
          <w:numId w:val="2"/>
        </w:numPr>
        <w:ind w:firstLineChars="0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唐曉晴</w:t>
      </w:r>
      <w:proofErr w:type="gramEnd"/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，蘇建峰，吳奇琦編著：《民法一般論題與〈澳門民法典〉總則》（下冊），澳門基金會，社會科學文獻出版社，20</w:t>
      </w:r>
      <w:r w:rsidRPr="006D063B">
        <w:rPr>
          <w:rFonts w:ascii="標楷體" w:eastAsia="標楷體" w:hAnsi="標楷體"/>
          <w:sz w:val="24"/>
          <w:szCs w:val="24"/>
          <w:lang w:eastAsia="zh-TW"/>
        </w:rPr>
        <w:t>20</w:t>
      </w:r>
      <w:r w:rsidRPr="006D063B">
        <w:rPr>
          <w:rFonts w:ascii="標楷體" w:eastAsia="標楷體" w:hAnsi="標楷體" w:hint="eastAsia"/>
          <w:sz w:val="24"/>
          <w:szCs w:val="24"/>
          <w:lang w:eastAsia="zh-TW"/>
        </w:rPr>
        <w:t>年版。</w:t>
      </w:r>
    </w:p>
    <w:p w14:paraId="5EF05F38" w14:textId="77777777" w:rsidR="00E4140C" w:rsidRPr="008E2ECD" w:rsidRDefault="00E4140C" w:rsidP="00B606F4">
      <w:pPr>
        <w:rPr>
          <w:rFonts w:ascii="標楷體" w:hAnsi="標楷體"/>
          <w:sz w:val="24"/>
          <w:szCs w:val="24"/>
          <w:lang w:eastAsia="zh-TW"/>
        </w:rPr>
      </w:pPr>
    </w:p>
    <w:sectPr w:rsidR="00E4140C" w:rsidRPr="008E2ECD" w:rsidSect="00F952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D1C3" w14:textId="77777777" w:rsidR="00143A9F" w:rsidRDefault="00143A9F" w:rsidP="005A2965">
      <w:r>
        <w:separator/>
      </w:r>
    </w:p>
  </w:endnote>
  <w:endnote w:type="continuationSeparator" w:id="0">
    <w:p w14:paraId="6127CD42" w14:textId="77777777" w:rsidR="00143A9F" w:rsidRDefault="00143A9F" w:rsidP="005A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306740"/>
      <w:docPartObj>
        <w:docPartGallery w:val="Page Numbers (Bottom of Page)"/>
        <w:docPartUnique/>
      </w:docPartObj>
    </w:sdtPr>
    <w:sdtEndPr/>
    <w:sdtContent>
      <w:p w14:paraId="5147397A" w14:textId="596F314A" w:rsidR="0053767D" w:rsidRDefault="005376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33" w:rsidRPr="00F66133">
          <w:rPr>
            <w:noProof/>
            <w:lang w:val="zh-TW" w:eastAsia="zh-TW"/>
          </w:rPr>
          <w:t>11</w:t>
        </w:r>
        <w:r>
          <w:fldChar w:fldCharType="end"/>
        </w:r>
      </w:p>
    </w:sdtContent>
  </w:sdt>
  <w:p w14:paraId="48ED0AE6" w14:textId="77777777" w:rsidR="0053767D" w:rsidRDefault="005376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7992" w14:textId="77777777" w:rsidR="00143A9F" w:rsidRDefault="00143A9F" w:rsidP="005A2965">
      <w:r>
        <w:separator/>
      </w:r>
    </w:p>
  </w:footnote>
  <w:footnote w:type="continuationSeparator" w:id="0">
    <w:p w14:paraId="7B99C766" w14:textId="77777777" w:rsidR="00143A9F" w:rsidRDefault="00143A9F" w:rsidP="005A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264"/>
    <w:multiLevelType w:val="hybridMultilevel"/>
    <w:tmpl w:val="C156879E"/>
    <w:lvl w:ilvl="0" w:tplc="BF64EF8E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6B7C37"/>
    <w:multiLevelType w:val="hybridMultilevel"/>
    <w:tmpl w:val="4C32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65"/>
    <w:rsid w:val="00026FAE"/>
    <w:rsid w:val="000463E7"/>
    <w:rsid w:val="00065699"/>
    <w:rsid w:val="00142657"/>
    <w:rsid w:val="00143A9F"/>
    <w:rsid w:val="001E66B6"/>
    <w:rsid w:val="00224E6B"/>
    <w:rsid w:val="002433A5"/>
    <w:rsid w:val="00276B74"/>
    <w:rsid w:val="00276E36"/>
    <w:rsid w:val="00361CF9"/>
    <w:rsid w:val="00385547"/>
    <w:rsid w:val="003C6810"/>
    <w:rsid w:val="00411B64"/>
    <w:rsid w:val="00445CC3"/>
    <w:rsid w:val="004B6F9D"/>
    <w:rsid w:val="004E79A7"/>
    <w:rsid w:val="0053767D"/>
    <w:rsid w:val="00560BB1"/>
    <w:rsid w:val="00566B79"/>
    <w:rsid w:val="005970F0"/>
    <w:rsid w:val="005A2965"/>
    <w:rsid w:val="006A0313"/>
    <w:rsid w:val="006A2CCB"/>
    <w:rsid w:val="006D063B"/>
    <w:rsid w:val="00715897"/>
    <w:rsid w:val="007365A9"/>
    <w:rsid w:val="007C4D19"/>
    <w:rsid w:val="008E2ECD"/>
    <w:rsid w:val="009044AD"/>
    <w:rsid w:val="009A3DE1"/>
    <w:rsid w:val="009A4230"/>
    <w:rsid w:val="009C3140"/>
    <w:rsid w:val="009F04AA"/>
    <w:rsid w:val="00A71409"/>
    <w:rsid w:val="00AB5E71"/>
    <w:rsid w:val="00AC4FE4"/>
    <w:rsid w:val="00B21D3A"/>
    <w:rsid w:val="00B52F03"/>
    <w:rsid w:val="00B606F4"/>
    <w:rsid w:val="00BB1291"/>
    <w:rsid w:val="00C03A1A"/>
    <w:rsid w:val="00C13DF7"/>
    <w:rsid w:val="00C51430"/>
    <w:rsid w:val="00C66C6E"/>
    <w:rsid w:val="00D23A1D"/>
    <w:rsid w:val="00D27C07"/>
    <w:rsid w:val="00D34496"/>
    <w:rsid w:val="00DE47A7"/>
    <w:rsid w:val="00E26E4C"/>
    <w:rsid w:val="00E4140C"/>
    <w:rsid w:val="00E43C15"/>
    <w:rsid w:val="00EA6CB9"/>
    <w:rsid w:val="00F02CEB"/>
    <w:rsid w:val="00F13E00"/>
    <w:rsid w:val="00F14D2A"/>
    <w:rsid w:val="00F66133"/>
    <w:rsid w:val="00F95209"/>
    <w:rsid w:val="00F974D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7E9E3"/>
  <w15:docId w15:val="{91FCAEC1-ADB3-4F3C-90E6-7822333C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5A2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A2965"/>
    <w:rPr>
      <w:sz w:val="18"/>
      <w:szCs w:val="18"/>
    </w:rPr>
  </w:style>
  <w:style w:type="paragraph" w:styleId="a7">
    <w:name w:val="List Paragraph"/>
    <w:basedOn w:val="a"/>
    <w:uiPriority w:val="34"/>
    <w:qFormat/>
    <w:rsid w:val="003855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RABBIT LEONG</cp:lastModifiedBy>
  <cp:revision>2</cp:revision>
  <dcterms:created xsi:type="dcterms:W3CDTF">2022-03-17T09:50:00Z</dcterms:created>
  <dcterms:modified xsi:type="dcterms:W3CDTF">2022-03-17T09:50:00Z</dcterms:modified>
</cp:coreProperties>
</file>