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F3" w:rsidRPr="00FF4FB3" w:rsidRDefault="00E869FA" w:rsidP="00FF4FB3">
      <w:pPr>
        <w:pStyle w:val="BodyText"/>
        <w:spacing w:line="534" w:lineRule="exact"/>
        <w:ind w:left="2238"/>
        <w:rPr>
          <w:w w:val="90"/>
        </w:rPr>
      </w:pPr>
      <w:r>
        <w:rPr>
          <w:w w:val="90"/>
        </w:rPr>
        <w:t>202</w:t>
      </w:r>
      <w:r w:rsidR="00FF4FB3">
        <w:rPr>
          <w:w w:val="90"/>
        </w:rPr>
        <w:t>2</w:t>
      </w:r>
      <w:r>
        <w:rPr>
          <w:w w:val="90"/>
        </w:rPr>
        <w:t>-202</w:t>
      </w:r>
      <w:r w:rsidR="00FF4FB3">
        <w:rPr>
          <w:w w:val="90"/>
        </w:rPr>
        <w:t>3</w:t>
      </w:r>
      <w:r w:rsidRPr="00FF4FB3">
        <w:rPr>
          <w:w w:val="90"/>
        </w:rPr>
        <w:t xml:space="preserve"> </w:t>
      </w:r>
      <w:r w:rsidRPr="00FF4FB3">
        <w:rPr>
          <w:w w:val="90"/>
        </w:rPr>
        <w:t>學年</w:t>
      </w:r>
    </w:p>
    <w:p w:rsidR="00FF4FB3" w:rsidRDefault="00E869FA" w:rsidP="00FF4FB3">
      <w:pPr>
        <w:pStyle w:val="BodyText"/>
        <w:spacing w:line="534" w:lineRule="exact"/>
        <w:ind w:left="2238"/>
        <w:rPr>
          <w:rFonts w:hint="eastAsia"/>
          <w:w w:val="90"/>
        </w:rPr>
      </w:pPr>
      <w:r w:rsidRPr="00FF4FB3">
        <w:rPr>
          <w:w w:val="90"/>
        </w:rPr>
        <w:t>民事訴訟法</w:t>
      </w:r>
      <w:r w:rsidRPr="00FF4FB3">
        <w:rPr>
          <w:w w:val="90"/>
        </w:rPr>
        <w:t xml:space="preserve"> </w:t>
      </w:r>
      <w:r w:rsidRPr="00FF4FB3">
        <w:rPr>
          <w:w w:val="90"/>
        </w:rPr>
        <w:t>I</w:t>
      </w:r>
      <w:r w:rsidRPr="00FF4FB3">
        <w:rPr>
          <w:w w:val="90"/>
        </w:rPr>
        <w:t>（實踐課）</w:t>
      </w:r>
    </w:p>
    <w:p w:rsidR="000207F3" w:rsidRPr="00FF4FB3" w:rsidRDefault="00FF4FB3" w:rsidP="00FF4FB3">
      <w:pPr>
        <w:pStyle w:val="BodyText"/>
        <w:spacing w:line="534" w:lineRule="exact"/>
        <w:ind w:left="2238"/>
        <w:rPr>
          <w:w w:val="90"/>
        </w:rPr>
      </w:pPr>
      <w:r>
        <w:rPr>
          <w:rFonts w:hint="eastAsia"/>
          <w:w w:val="90"/>
          <w:lang w:eastAsia="zh-HK"/>
        </w:rPr>
        <w:t>每周</w:t>
      </w:r>
      <w:r w:rsidR="00E869FA" w:rsidRPr="00FF4FB3">
        <w:rPr>
          <w:w w:val="90"/>
        </w:rPr>
        <w:t>教案</w:t>
      </w:r>
    </w:p>
    <w:p w:rsidR="000207F3" w:rsidRPr="00FF4FB3" w:rsidRDefault="00E869FA" w:rsidP="00FF4FB3">
      <w:pPr>
        <w:pStyle w:val="BodyText"/>
        <w:spacing w:line="534" w:lineRule="exact"/>
        <w:ind w:left="2238"/>
        <w:rPr>
          <w:w w:val="90"/>
        </w:rPr>
      </w:pPr>
      <w:r w:rsidRPr="00FF4FB3">
        <w:rPr>
          <w:w w:val="90"/>
        </w:rPr>
        <w:t>黃景禧</w:t>
      </w: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796"/>
      </w:tblGrid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7796" w:type="dxa"/>
          </w:tcPr>
          <w:p w:rsidR="00FF4FB3" w:rsidRDefault="00FF4FB3" w:rsidP="00FC6CB6">
            <w:pPr>
              <w:pStyle w:val="TableParagraph"/>
              <w:tabs>
                <w:tab w:val="left" w:pos="5225"/>
              </w:tabs>
              <w:spacing w:before="107" w:line="472" w:lineRule="exact"/>
              <w:ind w:left="2576" w:right="2571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教學內容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6" w:type="dxa"/>
          </w:tcPr>
          <w:p w:rsidR="00FF4FB3" w:rsidRDefault="00FF4FB3" w:rsidP="00FC6CB6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>
              <w:rPr>
                <w:sz w:val="28"/>
              </w:rPr>
              <w:t>條文運用（</w:t>
            </w:r>
            <w:r w:rsidR="00B67A8F" w:rsidRPr="00EB7407">
              <w:rPr>
                <w:rFonts w:hint="eastAsia"/>
                <w:sz w:val="28"/>
              </w:rPr>
              <w:t>民事訴訟基本規定</w:t>
            </w:r>
            <w:r w:rsidRPr="00EB7407">
              <w:rPr>
                <w:sz w:val="28"/>
              </w:rPr>
              <w:t>）</w:t>
            </w:r>
            <w:r>
              <w:rPr>
                <w:sz w:val="28"/>
              </w:rPr>
              <w:t>、真實書狀展示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20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6" w:type="dxa"/>
          </w:tcPr>
          <w:p w:rsidR="00FF4FB3" w:rsidRDefault="00FF4FB3" w:rsidP="00EB7407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條文運用</w:t>
            </w:r>
            <w:r>
              <w:rPr>
                <w:sz w:val="28"/>
              </w:rPr>
              <w:t>（</w:t>
            </w:r>
            <w:r w:rsidR="00FC6CB6" w:rsidRPr="00EB7407">
              <w:rPr>
                <w:rFonts w:hint="eastAsia"/>
                <w:sz w:val="28"/>
              </w:rPr>
              <w:t>民事訴訟基本原則</w:t>
            </w:r>
            <w:r w:rsidRPr="00EB7407">
              <w:rPr>
                <w:sz w:val="28"/>
              </w:rPr>
              <w:t>）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6" w:type="dxa"/>
          </w:tcPr>
          <w:p w:rsidR="00FF4FB3" w:rsidRDefault="00FF4FB3" w:rsidP="00FC6CB6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條文運用</w:t>
            </w:r>
            <w:r>
              <w:rPr>
                <w:sz w:val="28"/>
              </w:rPr>
              <w:t>（</w:t>
            </w:r>
            <w:r w:rsidR="00B7156F" w:rsidRPr="00EB7407">
              <w:rPr>
                <w:rFonts w:hint="eastAsia"/>
                <w:sz w:val="28"/>
              </w:rPr>
              <w:t>訴訟類型</w:t>
            </w:r>
            <w:r w:rsidR="000A6992" w:rsidRPr="00EB7407">
              <w:rPr>
                <w:rFonts w:hint="eastAsia"/>
                <w:sz w:val="28"/>
              </w:rPr>
              <w:t>；</w:t>
            </w:r>
            <w:r w:rsidR="00B7156F" w:rsidRPr="00EB7407">
              <w:rPr>
                <w:rFonts w:hint="eastAsia"/>
                <w:sz w:val="28"/>
              </w:rPr>
              <w:t>訴訟形式</w:t>
            </w:r>
            <w:r w:rsidR="000A6992" w:rsidRPr="00EB7407">
              <w:rPr>
                <w:rFonts w:hint="eastAsia"/>
                <w:sz w:val="28"/>
              </w:rPr>
              <w:t>；</w:t>
            </w:r>
            <w:r w:rsidR="00B7156F" w:rsidRPr="00EB7407">
              <w:rPr>
                <w:rFonts w:hint="eastAsia"/>
                <w:sz w:val="28"/>
              </w:rPr>
              <w:t>期間</w:t>
            </w:r>
            <w:r>
              <w:rPr>
                <w:sz w:val="28"/>
              </w:rPr>
              <w:t>）</w:t>
            </w:r>
            <w:r w:rsidR="00B7156F">
              <w:rPr>
                <w:sz w:val="28"/>
              </w:rPr>
              <w:t>、案例分享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19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6" w:type="dxa"/>
          </w:tcPr>
          <w:p w:rsidR="00FF4FB3" w:rsidRDefault="00FF4FB3" w:rsidP="00EB7407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條文運用</w:t>
            </w:r>
            <w:r>
              <w:rPr>
                <w:sz w:val="28"/>
              </w:rPr>
              <w:t>（</w:t>
            </w:r>
            <w:r w:rsidR="00B7156F" w:rsidRPr="00EB7407">
              <w:rPr>
                <w:rFonts w:hint="eastAsia"/>
                <w:sz w:val="28"/>
              </w:rPr>
              <w:t>訴訟前提：管轄權</w:t>
            </w:r>
            <w:r w:rsidRPr="00EB7407">
              <w:rPr>
                <w:sz w:val="28"/>
              </w:rPr>
              <w:t>）</w:t>
            </w:r>
            <w:r w:rsidR="00B7156F">
              <w:rPr>
                <w:sz w:val="28"/>
              </w:rPr>
              <w:t>、案例分享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96" w:type="dxa"/>
          </w:tcPr>
          <w:p w:rsidR="00FF4FB3" w:rsidRDefault="00FF4FB3" w:rsidP="00FC6CB6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條文運用（</w:t>
            </w:r>
            <w:r w:rsidR="00B7156F" w:rsidRPr="00EB7407">
              <w:rPr>
                <w:rFonts w:hint="eastAsia"/>
                <w:sz w:val="28"/>
              </w:rPr>
              <w:t>訴訟前提：</w:t>
            </w:r>
            <w:r w:rsidR="000A6992" w:rsidRPr="00EB7407">
              <w:rPr>
                <w:rFonts w:hint="eastAsia"/>
                <w:sz w:val="28"/>
              </w:rPr>
              <w:t>當事人能力、訴訟能力、正當性</w:t>
            </w:r>
            <w:r>
              <w:rPr>
                <w:sz w:val="28"/>
              </w:rPr>
              <w:t>）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96" w:type="dxa"/>
          </w:tcPr>
          <w:p w:rsidR="00FF4FB3" w:rsidRDefault="00FF4FB3" w:rsidP="00FC6CB6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條文運用</w:t>
            </w:r>
            <w:r>
              <w:rPr>
                <w:sz w:val="28"/>
              </w:rPr>
              <w:t>（</w:t>
            </w:r>
            <w:r w:rsidR="00B7156F" w:rsidRPr="00EB7407">
              <w:rPr>
                <w:rFonts w:hint="eastAsia"/>
                <w:sz w:val="28"/>
              </w:rPr>
              <w:t>訴訟前提：</w:t>
            </w:r>
            <w:r w:rsidR="000A6992" w:rsidRPr="00EB7407">
              <w:rPr>
                <w:rFonts w:hint="eastAsia"/>
                <w:sz w:val="28"/>
              </w:rPr>
              <w:t>共同訴訟和聯合</w:t>
            </w:r>
            <w:r>
              <w:rPr>
                <w:sz w:val="28"/>
              </w:rPr>
              <w:t>）</w:t>
            </w:r>
            <w:r w:rsidR="00310DAF">
              <w:rPr>
                <w:sz w:val="28"/>
              </w:rPr>
              <w:t>、案例分享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19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96" w:type="dxa"/>
          </w:tcPr>
          <w:p w:rsidR="00FF4FB3" w:rsidRDefault="00FF4FB3" w:rsidP="00EB7407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>
              <w:rPr>
                <w:sz w:val="28"/>
              </w:rPr>
              <w:t>條文運用（</w:t>
            </w:r>
            <w:r w:rsidR="000A6992" w:rsidRPr="00EB7407">
              <w:rPr>
                <w:rFonts w:hint="eastAsia"/>
                <w:sz w:val="28"/>
              </w:rPr>
              <w:t>訴訟前提：</w:t>
            </w:r>
            <w:r w:rsidR="00310DAF" w:rsidRPr="00EB7407">
              <w:rPr>
                <w:rFonts w:hint="eastAsia"/>
                <w:sz w:val="28"/>
              </w:rPr>
              <w:t>強制性法院代理、</w:t>
            </w:r>
            <w:r w:rsidR="000A6992" w:rsidRPr="00EB7407">
              <w:rPr>
                <w:rFonts w:hint="eastAsia"/>
                <w:sz w:val="28"/>
              </w:rPr>
              <w:t>訴之利益</w:t>
            </w:r>
            <w:r w:rsidR="000A6992">
              <w:rPr>
                <w:sz w:val="28"/>
              </w:rPr>
              <w:t>）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2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96" w:type="dxa"/>
          </w:tcPr>
          <w:p w:rsidR="00FF4FB3" w:rsidRDefault="00310DAF" w:rsidP="00EB7407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>
              <w:rPr>
                <w:sz w:val="28"/>
              </w:rPr>
              <w:t>條文運用（</w:t>
            </w:r>
            <w:r w:rsidRPr="00EB7407">
              <w:rPr>
                <w:rFonts w:hint="eastAsia"/>
                <w:sz w:val="28"/>
              </w:rPr>
              <w:t>傳喚及通知</w:t>
            </w:r>
            <w:r>
              <w:rPr>
                <w:sz w:val="28"/>
              </w:rPr>
              <w:t>）</w:t>
            </w:r>
            <w:r w:rsidR="00EB7407">
              <w:rPr>
                <w:sz w:val="28"/>
              </w:rPr>
              <w:t>、案例分享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19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96" w:type="dxa"/>
          </w:tcPr>
          <w:p w:rsidR="00FF4FB3" w:rsidRDefault="00310DAF" w:rsidP="00EB7407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實踐題目練習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796" w:type="dxa"/>
          </w:tcPr>
          <w:p w:rsidR="00FF4FB3" w:rsidRDefault="00FF4FB3" w:rsidP="00FC6CB6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條文運用</w:t>
            </w:r>
            <w:r>
              <w:rPr>
                <w:sz w:val="28"/>
              </w:rPr>
              <w:t>（</w:t>
            </w:r>
            <w:r w:rsidR="000A6992" w:rsidRPr="00EB7407">
              <w:rPr>
                <w:rFonts w:hint="eastAsia"/>
                <w:sz w:val="28"/>
              </w:rPr>
              <w:t>訴訟恆定原則；中止、中斷和消滅</w:t>
            </w:r>
            <w:r w:rsidRPr="00EB7407">
              <w:rPr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796" w:type="dxa"/>
          </w:tcPr>
          <w:p w:rsidR="00FF4FB3" w:rsidRDefault="00FF4FB3" w:rsidP="00FC6CB6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條文運用</w:t>
            </w:r>
            <w:r>
              <w:rPr>
                <w:sz w:val="28"/>
              </w:rPr>
              <w:t>（</w:t>
            </w:r>
            <w:r w:rsidR="00B7156F" w:rsidRPr="00EB7407">
              <w:rPr>
                <w:rFonts w:hint="eastAsia"/>
                <w:sz w:val="28"/>
              </w:rPr>
              <w:t>保全程序</w:t>
            </w:r>
            <w:r w:rsidRPr="00EB7407">
              <w:rPr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199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796" w:type="dxa"/>
          </w:tcPr>
          <w:p w:rsidR="00FF4FB3" w:rsidRDefault="00B7156F" w:rsidP="00EB7407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條文運用</w:t>
            </w:r>
            <w:r>
              <w:rPr>
                <w:sz w:val="28"/>
              </w:rPr>
              <w:t>（</w:t>
            </w:r>
            <w:r w:rsidRPr="00EB7407">
              <w:rPr>
                <w:rFonts w:hint="eastAsia"/>
                <w:sz w:val="28"/>
              </w:rPr>
              <w:t>訴訟無效</w:t>
            </w:r>
            <w:r w:rsidRPr="00EB7407">
              <w:rPr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796" w:type="dxa"/>
          </w:tcPr>
          <w:p w:rsidR="00FF4FB3" w:rsidRDefault="00B7156F" w:rsidP="00FC6CB6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條文運用</w:t>
            </w:r>
            <w:r>
              <w:rPr>
                <w:sz w:val="28"/>
              </w:rPr>
              <w:t>（</w:t>
            </w:r>
            <w:r w:rsidRPr="00EB7407">
              <w:rPr>
                <w:rFonts w:hint="eastAsia"/>
                <w:sz w:val="28"/>
              </w:rPr>
              <w:t>第三人之參加</w:t>
            </w:r>
            <w:r w:rsidRPr="00EB7407">
              <w:rPr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202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796" w:type="dxa"/>
          </w:tcPr>
          <w:p w:rsidR="00FF4FB3" w:rsidRDefault="00FF4FB3" w:rsidP="00EB7407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實踐題目練習、案例分享</w:t>
            </w:r>
          </w:p>
        </w:tc>
      </w:tr>
      <w:tr w:rsidR="00FF4FB3" w:rsidTr="00FC6CB6">
        <w:trPr>
          <w:trHeight w:val="674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202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796" w:type="dxa"/>
          </w:tcPr>
          <w:p w:rsidR="00FF4FB3" w:rsidRPr="00EB7407" w:rsidRDefault="00B7156F" w:rsidP="00EB7407">
            <w:pPr>
              <w:pStyle w:val="TableParagraph"/>
              <w:tabs>
                <w:tab w:val="left" w:pos="5225"/>
              </w:tabs>
              <w:rPr>
                <w:sz w:val="28"/>
              </w:rPr>
            </w:pPr>
            <w:r w:rsidRPr="00EB7407">
              <w:rPr>
                <w:sz w:val="28"/>
              </w:rPr>
              <w:t>實踐題目練習、案例分享</w:t>
            </w:r>
          </w:p>
        </w:tc>
      </w:tr>
    </w:tbl>
    <w:p w:rsidR="00FF4FB3" w:rsidRDefault="00FF4FB3">
      <w:pPr>
        <w:pStyle w:val="BodyText"/>
        <w:spacing w:line="614" w:lineRule="exact"/>
        <w:ind w:left="2237"/>
      </w:pPr>
    </w:p>
    <w:p w:rsidR="00FF4FB3" w:rsidRPr="00FF4FB3" w:rsidRDefault="00FF4FB3" w:rsidP="00FF4FB3">
      <w:pPr>
        <w:pStyle w:val="BodyText"/>
        <w:spacing w:line="534" w:lineRule="exact"/>
        <w:ind w:left="2238"/>
        <w:rPr>
          <w:w w:val="90"/>
        </w:rPr>
      </w:pPr>
      <w:r>
        <w:rPr>
          <w:w w:val="90"/>
        </w:rPr>
        <w:t>2022-2023</w:t>
      </w:r>
      <w:r w:rsidRPr="00FF4FB3">
        <w:rPr>
          <w:w w:val="90"/>
        </w:rPr>
        <w:t xml:space="preserve"> 學年</w:t>
      </w:r>
    </w:p>
    <w:p w:rsidR="00FF4FB3" w:rsidRDefault="00FF4FB3" w:rsidP="00FF4FB3">
      <w:pPr>
        <w:pStyle w:val="BodyText"/>
        <w:spacing w:line="534" w:lineRule="exact"/>
        <w:ind w:left="2238"/>
        <w:rPr>
          <w:rFonts w:hint="eastAsia"/>
          <w:w w:val="90"/>
        </w:rPr>
      </w:pPr>
      <w:r w:rsidRPr="00FF4FB3">
        <w:rPr>
          <w:w w:val="90"/>
        </w:rPr>
        <w:t>民事訴訟法 I</w:t>
      </w:r>
      <w:r>
        <w:rPr>
          <w:w w:val="90"/>
        </w:rPr>
        <w:t>I</w:t>
      </w:r>
      <w:r w:rsidRPr="00FF4FB3">
        <w:rPr>
          <w:w w:val="90"/>
        </w:rPr>
        <w:t>（實踐課）</w:t>
      </w:r>
    </w:p>
    <w:p w:rsidR="00FF4FB3" w:rsidRPr="00FF4FB3" w:rsidRDefault="00FF4FB3" w:rsidP="00FF4FB3">
      <w:pPr>
        <w:pStyle w:val="BodyText"/>
        <w:spacing w:line="534" w:lineRule="exact"/>
        <w:ind w:left="2238"/>
        <w:rPr>
          <w:w w:val="90"/>
        </w:rPr>
      </w:pPr>
      <w:r>
        <w:rPr>
          <w:rFonts w:hint="eastAsia"/>
          <w:w w:val="90"/>
          <w:lang w:eastAsia="zh-HK"/>
        </w:rPr>
        <w:t>每周</w:t>
      </w:r>
      <w:r w:rsidRPr="00FF4FB3">
        <w:rPr>
          <w:w w:val="90"/>
        </w:rPr>
        <w:t>教案</w:t>
      </w:r>
    </w:p>
    <w:p w:rsidR="00FF4FB3" w:rsidRPr="00FF4FB3" w:rsidRDefault="00FF4FB3" w:rsidP="00FF4FB3">
      <w:pPr>
        <w:pStyle w:val="BodyText"/>
        <w:spacing w:line="534" w:lineRule="exact"/>
        <w:ind w:left="2238"/>
        <w:rPr>
          <w:w w:val="90"/>
        </w:rPr>
      </w:pPr>
      <w:r w:rsidRPr="00FF4FB3">
        <w:rPr>
          <w:w w:val="90"/>
        </w:rPr>
        <w:t>黃景禧</w:t>
      </w: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796"/>
      </w:tblGrid>
      <w:tr w:rsidR="00FF4FB3" w:rsidTr="008263A0">
        <w:trPr>
          <w:trHeight w:val="599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7796" w:type="dxa"/>
          </w:tcPr>
          <w:p w:rsidR="00FF4FB3" w:rsidRDefault="00FF4FB3" w:rsidP="008263A0">
            <w:pPr>
              <w:pStyle w:val="TableParagraph"/>
              <w:spacing w:before="107" w:line="472" w:lineRule="exact"/>
              <w:ind w:left="2576" w:right="2571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教學內容</w:t>
            </w:r>
          </w:p>
        </w:tc>
      </w:tr>
      <w:tr w:rsidR="00FF4FB3" w:rsidTr="008263A0">
        <w:trPr>
          <w:trHeight w:val="599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6" w:type="dxa"/>
          </w:tcPr>
          <w:p w:rsidR="00FF4FB3" w:rsidRDefault="00FF4FB3" w:rsidP="008263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條文運用（起訴狀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、真實書狀展示</w:t>
            </w:r>
          </w:p>
        </w:tc>
      </w:tr>
      <w:tr w:rsidR="00FF4FB3" w:rsidTr="008263A0">
        <w:trPr>
          <w:trHeight w:val="1202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spacing w:before="20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6" w:type="dxa"/>
          </w:tcPr>
          <w:p w:rsidR="00FF4FB3" w:rsidRDefault="00FF4FB3" w:rsidP="008263A0">
            <w:pPr>
              <w:pStyle w:val="TableParagraph"/>
              <w:spacing w:before="0" w:line="600" w:lineRule="exact"/>
              <w:ind w:right="597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（答辯狀</w:t>
            </w:r>
            <w:r w:rsidR="00B7156F">
              <w:rPr>
                <w:sz w:val="28"/>
              </w:rPr>
              <w:t>；</w:t>
            </w:r>
            <w:r>
              <w:rPr>
                <w:sz w:val="28"/>
              </w:rPr>
              <w:t>爭執</w:t>
            </w:r>
            <w:r w:rsidR="00B7156F">
              <w:rPr>
                <w:sz w:val="28"/>
              </w:rPr>
              <w:t>；</w:t>
            </w:r>
            <w:r>
              <w:rPr>
                <w:sz w:val="28"/>
              </w:rPr>
              <w:t>延訴抗辯</w:t>
            </w:r>
            <w:r w:rsidR="00B7156F">
              <w:rPr>
                <w:sz w:val="28"/>
              </w:rPr>
              <w:t>；</w:t>
            </w:r>
            <w:r>
              <w:rPr>
                <w:sz w:val="28"/>
              </w:rPr>
              <w:t>永久抗辯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、真實書狀展示、案例分享</w:t>
            </w:r>
          </w:p>
        </w:tc>
      </w:tr>
      <w:tr w:rsidR="00FF4FB3" w:rsidTr="008263A0">
        <w:trPr>
          <w:trHeight w:val="599"/>
        </w:trPr>
        <w:tc>
          <w:tcPr>
            <w:tcW w:w="851" w:type="dxa"/>
          </w:tcPr>
          <w:p w:rsidR="00FF4FB3" w:rsidRDefault="00FF4FB3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6" w:type="dxa"/>
          </w:tcPr>
          <w:p w:rsidR="00FF4FB3" w:rsidRDefault="00FF4FB3" w:rsidP="008263A0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（反訴</w:t>
            </w:r>
            <w:r w:rsidR="00B7156F">
              <w:rPr>
                <w:sz w:val="28"/>
              </w:rPr>
              <w:t>；</w:t>
            </w:r>
            <w:r>
              <w:rPr>
                <w:sz w:val="28"/>
              </w:rPr>
              <w:t>反駁狀</w:t>
            </w:r>
            <w:r w:rsidR="00B7156F">
              <w:rPr>
                <w:sz w:val="28"/>
              </w:rPr>
              <w:t>；</w:t>
            </w:r>
            <w:r>
              <w:rPr>
                <w:sz w:val="28"/>
              </w:rPr>
              <w:t>再答辯）</w:t>
            </w:r>
          </w:p>
        </w:tc>
      </w:tr>
      <w:tr w:rsidR="00EB7407" w:rsidTr="008263A0">
        <w:trPr>
          <w:trHeight w:val="599"/>
        </w:trPr>
        <w:tc>
          <w:tcPr>
            <w:tcW w:w="851" w:type="dxa"/>
          </w:tcPr>
          <w:p w:rsidR="00EB7407" w:rsidRDefault="00EB7407" w:rsidP="00EB7407">
            <w:pPr>
              <w:pStyle w:val="TableParagraph"/>
              <w:spacing w:before="19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6" w:type="dxa"/>
          </w:tcPr>
          <w:p w:rsidR="00EB7407" w:rsidRDefault="00EB7407" w:rsidP="00EB7407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  <w:tr w:rsidR="00EB7407" w:rsidTr="00EB7407">
        <w:trPr>
          <w:trHeight w:val="586"/>
        </w:trPr>
        <w:tc>
          <w:tcPr>
            <w:tcW w:w="851" w:type="dxa"/>
          </w:tcPr>
          <w:p w:rsidR="00EB7407" w:rsidRDefault="00EB7407" w:rsidP="00EB740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96" w:type="dxa"/>
          </w:tcPr>
          <w:p w:rsidR="00EB7407" w:rsidRDefault="00EB7407" w:rsidP="00EB7407">
            <w:pPr>
              <w:pStyle w:val="TableParagraph"/>
              <w:spacing w:before="199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（清理批示</w:t>
            </w:r>
            <w:r>
              <w:rPr>
                <w:sz w:val="28"/>
              </w:rPr>
              <w:t>；</w:t>
            </w:r>
            <w:r>
              <w:rPr>
                <w:sz w:val="28"/>
              </w:rPr>
              <w:t>事實事宜之篩選</w:t>
            </w:r>
            <w:r>
              <w:rPr>
                <w:spacing w:val="-138"/>
                <w:sz w:val="28"/>
              </w:rPr>
              <w:t>）</w:t>
            </w:r>
            <w:r>
              <w:rPr>
                <w:sz w:val="28"/>
              </w:rPr>
              <w:t>、真實書狀展示</w:t>
            </w:r>
          </w:p>
        </w:tc>
      </w:tr>
      <w:tr w:rsidR="00EB7407" w:rsidTr="008263A0">
        <w:trPr>
          <w:trHeight w:val="599"/>
        </w:trPr>
        <w:tc>
          <w:tcPr>
            <w:tcW w:w="851" w:type="dxa"/>
          </w:tcPr>
          <w:p w:rsidR="00EB7407" w:rsidRDefault="00EB7407" w:rsidP="00EB740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96" w:type="dxa"/>
          </w:tcPr>
          <w:p w:rsidR="00EB7407" w:rsidRDefault="00EB7407" w:rsidP="00EB7407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  <w:tr w:rsidR="00EB7407" w:rsidTr="008263A0">
        <w:trPr>
          <w:trHeight w:val="600"/>
        </w:trPr>
        <w:tc>
          <w:tcPr>
            <w:tcW w:w="851" w:type="dxa"/>
          </w:tcPr>
          <w:p w:rsidR="00EB7407" w:rsidRDefault="00EB7407" w:rsidP="00EB7407">
            <w:pPr>
              <w:pStyle w:val="TableParagraph"/>
              <w:spacing w:before="19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96" w:type="dxa"/>
          </w:tcPr>
          <w:p w:rsidR="00EB7407" w:rsidRDefault="00EB7407" w:rsidP="00EB7407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條文運用（</w:t>
            </w:r>
            <w:r>
              <w:rPr>
                <w:sz w:val="28"/>
              </w:rPr>
              <w:t>證據方法；訴訟調查原則）</w:t>
            </w:r>
          </w:p>
        </w:tc>
      </w:tr>
      <w:tr w:rsidR="00EB7407" w:rsidTr="008263A0">
        <w:trPr>
          <w:trHeight w:val="599"/>
        </w:trPr>
        <w:tc>
          <w:tcPr>
            <w:tcW w:w="851" w:type="dxa"/>
          </w:tcPr>
          <w:p w:rsidR="00EB7407" w:rsidRDefault="00EB7407" w:rsidP="00EB7407">
            <w:pPr>
              <w:pStyle w:val="TableParagraph"/>
              <w:spacing w:before="2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96" w:type="dxa"/>
          </w:tcPr>
          <w:p w:rsidR="00EB7407" w:rsidRDefault="00EB7407" w:rsidP="00EB7407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條文運用（書證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EB7407" w:rsidTr="008263A0">
        <w:trPr>
          <w:trHeight w:val="602"/>
        </w:trPr>
        <w:tc>
          <w:tcPr>
            <w:tcW w:w="851" w:type="dxa"/>
          </w:tcPr>
          <w:p w:rsidR="00EB7407" w:rsidRDefault="00EB7407" w:rsidP="00EB7407">
            <w:pPr>
              <w:pStyle w:val="TableParagraph"/>
              <w:spacing w:before="19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96" w:type="dxa"/>
          </w:tcPr>
          <w:p w:rsidR="00EB7407" w:rsidRDefault="00EB7407" w:rsidP="00EB7407">
            <w:pPr>
              <w:pStyle w:val="TableParagraph"/>
              <w:spacing w:before="202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（當事人陳述</w:t>
            </w:r>
            <w:r>
              <w:rPr>
                <w:sz w:val="28"/>
              </w:rPr>
              <w:t>；</w:t>
            </w:r>
            <w:r>
              <w:rPr>
                <w:sz w:val="28"/>
              </w:rPr>
              <w:t>鑑定、勘驗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EB7407" w:rsidTr="008263A0">
        <w:trPr>
          <w:trHeight w:val="599"/>
        </w:trPr>
        <w:tc>
          <w:tcPr>
            <w:tcW w:w="851" w:type="dxa"/>
          </w:tcPr>
          <w:p w:rsidR="00EB7407" w:rsidRDefault="00EB7407" w:rsidP="00EB7407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796" w:type="dxa"/>
          </w:tcPr>
          <w:p w:rsidR="00EB7407" w:rsidRDefault="00EB7407" w:rsidP="00EB7407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條文運用（人證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E869FA" w:rsidTr="008263A0">
        <w:trPr>
          <w:trHeight w:val="599"/>
        </w:trPr>
        <w:tc>
          <w:tcPr>
            <w:tcW w:w="851" w:type="dxa"/>
          </w:tcPr>
          <w:p w:rsidR="00E869FA" w:rsidRDefault="00E869FA" w:rsidP="00E869FA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796" w:type="dxa"/>
          </w:tcPr>
          <w:p w:rsidR="00E869FA" w:rsidRDefault="00E869FA" w:rsidP="00E869FA">
            <w:pPr>
              <w:pStyle w:val="TableParagraph"/>
              <w:spacing w:before="199"/>
              <w:rPr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  <w:tr w:rsidR="00E869FA" w:rsidTr="008263A0">
        <w:trPr>
          <w:trHeight w:val="599"/>
        </w:trPr>
        <w:tc>
          <w:tcPr>
            <w:tcW w:w="851" w:type="dxa"/>
          </w:tcPr>
          <w:p w:rsidR="00E869FA" w:rsidRDefault="00E869FA" w:rsidP="00E869FA">
            <w:pPr>
              <w:pStyle w:val="TableParagraph"/>
              <w:spacing w:before="199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796" w:type="dxa"/>
          </w:tcPr>
          <w:p w:rsidR="00E869FA" w:rsidRDefault="00E869FA" w:rsidP="00E869FA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（案件之辯論及審判</w:t>
            </w:r>
            <w:r>
              <w:rPr>
                <w:sz w:val="28"/>
              </w:rPr>
              <w:t>；</w:t>
            </w:r>
            <w:r>
              <w:rPr>
                <w:sz w:val="28"/>
              </w:rPr>
              <w:t>判決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E869FA" w:rsidTr="008263A0">
        <w:trPr>
          <w:trHeight w:val="600"/>
        </w:trPr>
        <w:tc>
          <w:tcPr>
            <w:tcW w:w="851" w:type="dxa"/>
          </w:tcPr>
          <w:p w:rsidR="00E869FA" w:rsidRDefault="00E869FA" w:rsidP="00E869FA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796" w:type="dxa"/>
          </w:tcPr>
          <w:p w:rsidR="00E869FA" w:rsidRDefault="00E869FA" w:rsidP="00E869FA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（特別程序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E869FA" w:rsidTr="008263A0">
        <w:trPr>
          <w:trHeight w:val="599"/>
        </w:trPr>
        <w:tc>
          <w:tcPr>
            <w:tcW w:w="851" w:type="dxa"/>
          </w:tcPr>
          <w:p w:rsidR="00E869FA" w:rsidRDefault="00E869FA" w:rsidP="00E869FA">
            <w:pPr>
              <w:pStyle w:val="TableParagraph"/>
              <w:spacing w:before="202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796" w:type="dxa"/>
          </w:tcPr>
          <w:p w:rsidR="00E869FA" w:rsidRDefault="00E869FA" w:rsidP="00E869FA">
            <w:pPr>
              <w:pStyle w:val="TableParagraph"/>
              <w:spacing w:before="202"/>
              <w:rPr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  <w:tr w:rsidR="00E869FA" w:rsidTr="008263A0">
        <w:trPr>
          <w:trHeight w:val="599"/>
        </w:trPr>
        <w:tc>
          <w:tcPr>
            <w:tcW w:w="851" w:type="dxa"/>
          </w:tcPr>
          <w:p w:rsidR="00E869FA" w:rsidRDefault="00E869FA" w:rsidP="00E869FA">
            <w:pPr>
              <w:pStyle w:val="TableParagraph"/>
              <w:spacing w:before="202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796" w:type="dxa"/>
          </w:tcPr>
          <w:p w:rsidR="00E869FA" w:rsidRDefault="00E869FA" w:rsidP="00E869FA">
            <w:pPr>
              <w:pStyle w:val="TableParagraph"/>
              <w:spacing w:before="202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</w:tbl>
    <w:p w:rsidR="00FF4FB3" w:rsidRDefault="00FF4FB3" w:rsidP="00E77C87">
      <w:pPr>
        <w:pStyle w:val="BodyText"/>
        <w:spacing w:line="534" w:lineRule="exact"/>
        <w:jc w:val="both"/>
        <w:rPr>
          <w:w w:val="90"/>
        </w:rPr>
      </w:pPr>
      <w:r>
        <w:br w:type="page"/>
      </w:r>
      <w:r w:rsidR="00E77C87" w:rsidRPr="00FF4FB3">
        <w:rPr>
          <w:sz w:val="28"/>
          <w:szCs w:val="28"/>
        </w:rPr>
        <w:t xml:space="preserve"> </w:t>
      </w:r>
      <w:r w:rsidRPr="00E77C87">
        <w:rPr>
          <w:w w:val="90"/>
        </w:rPr>
        <w:t>夜班民事訴訟法</w:t>
      </w:r>
      <w:r w:rsidR="00E77C87" w:rsidRPr="00E77C87">
        <w:rPr>
          <w:w w:val="90"/>
        </w:rPr>
        <w:t xml:space="preserve"> </w:t>
      </w:r>
      <w:r w:rsidRPr="00E77C87">
        <w:rPr>
          <w:w w:val="90"/>
        </w:rPr>
        <w:t>(實踐課) 參考書目：</w:t>
      </w:r>
    </w:p>
    <w:p w:rsidR="00E77C87" w:rsidRPr="00E77C87" w:rsidRDefault="00E77C87" w:rsidP="00E77C87">
      <w:pPr>
        <w:pStyle w:val="BodyText"/>
        <w:spacing w:line="534" w:lineRule="exact"/>
        <w:jc w:val="both"/>
        <w:rPr>
          <w:rFonts w:hint="eastAsia"/>
          <w:w w:val="90"/>
        </w:rPr>
      </w:pPr>
    </w:p>
    <w:p w:rsidR="00FF4FB3" w:rsidRPr="00E77C87" w:rsidRDefault="00FF4FB3" w:rsidP="00FF4FB3">
      <w:pPr>
        <w:rPr>
          <w:rFonts w:hint="eastAsia"/>
          <w:sz w:val="28"/>
          <w:szCs w:val="28"/>
        </w:rPr>
      </w:pPr>
      <w:r w:rsidRPr="00FF4FB3">
        <w:rPr>
          <w:sz w:val="28"/>
          <w:szCs w:val="28"/>
        </w:rPr>
        <w:t>民事訴訟法教程，Viriato Manuel Pinheiro de Lima 著，葉迅生 盧映霞 譯，法律及司法培訓中心</w:t>
      </w:r>
      <w:bookmarkStart w:id="0" w:name="_GoBack"/>
      <w:bookmarkEnd w:id="0"/>
    </w:p>
    <w:sectPr w:rsidR="00FF4FB3" w:rsidRPr="00E77C87" w:rsidSect="00FC6CB6">
      <w:type w:val="continuous"/>
      <w:pgSz w:w="11910" w:h="16840"/>
      <w:pgMar w:top="1520" w:right="1562" w:bottom="156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F3"/>
    <w:rsid w:val="000207F3"/>
    <w:rsid w:val="000A6992"/>
    <w:rsid w:val="00310DAF"/>
    <w:rsid w:val="00B67A8F"/>
    <w:rsid w:val="00B7156F"/>
    <w:rsid w:val="00E77C87"/>
    <w:rsid w:val="00E869FA"/>
    <w:rsid w:val="00EB7407"/>
    <w:rsid w:val="00FC6CB6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4DBD379-90E2-40EF-90CA-602ACDE4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2236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C8B81539</Template>
  <TotalTime>1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 Hei Vong</dc:creator>
  <cp:lastModifiedBy>Vong Keng Hei</cp:lastModifiedBy>
  <cp:revision>2</cp:revision>
  <dcterms:created xsi:type="dcterms:W3CDTF">2022-07-27T09:37:00Z</dcterms:created>
  <dcterms:modified xsi:type="dcterms:W3CDTF">2022-07-27T09:37:00Z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2022-07-27T00:00:00Z</vt:filetime>
  </property>
</Properties>
</file>