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71" w:rsidRPr="00F20938" w:rsidRDefault="00536371" w:rsidP="00536371">
      <w:pPr>
        <w:jc w:val="center"/>
        <w:rPr>
          <w:rFonts w:ascii="Times New Roman" w:eastAsia="標楷體" w:hAnsi="Times New Roman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</w:t>
      </w:r>
      <w:r w:rsidRPr="00F20938">
        <w:rPr>
          <w:rFonts w:ascii="Times New Roman" w:eastAsia="標楷體" w:hAnsi="Times New Roman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刑事訴訟法</w:t>
      </w:r>
      <w:r w:rsidRPr="00F20938">
        <w:rPr>
          <w:rFonts w:ascii="Times New Roman" w:eastAsia="標楷體" w:hAnsi="Times New Roman" w:cs="Times New Roman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》</w:t>
      </w:r>
    </w:p>
    <w:p w:rsidR="00536371" w:rsidRDefault="00536371" w:rsidP="0053637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sz w:val="32"/>
          <w:szCs w:val="32"/>
        </w:rPr>
        <w:t>【授課內容大綱】</w:t>
      </w:r>
    </w:p>
    <w:p w:rsidR="00536371" w:rsidRPr="00F20938" w:rsidRDefault="00536371" w:rsidP="0053637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</w:rPr>
        <w:t>刑事訴訟法的定位及目的</w:t>
      </w:r>
    </w:p>
    <w:p w:rsidR="00536371" w:rsidRPr="00245C6F" w:rsidRDefault="00536371" w:rsidP="00536371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刑事訴訟法的定位</w:t>
      </w:r>
    </w:p>
    <w:p w:rsidR="00536371" w:rsidRPr="00F20938" w:rsidRDefault="00536371" w:rsidP="00536371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/>
          <w:sz w:val="26"/>
          <w:szCs w:val="26"/>
        </w:rPr>
        <w:t>廣義刑法的內容</w:t>
      </w:r>
    </w:p>
    <w:p w:rsidR="00536371" w:rsidRPr="00F20938" w:rsidRDefault="00536371" w:rsidP="00536371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/>
          <w:sz w:val="26"/>
          <w:szCs w:val="26"/>
        </w:rPr>
        <w:t>刑法（狹義）與刑事訴訟法的關係</w:t>
      </w:r>
    </w:p>
    <w:p w:rsidR="00536371" w:rsidRPr="00245C6F" w:rsidRDefault="00536371" w:rsidP="00536371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刑事訴訟法的目的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/>
          <w:sz w:val="26"/>
          <w:szCs w:val="26"/>
        </w:rPr>
        <w:t>查明事實真相和</w:t>
      </w:r>
      <w:proofErr w:type="gramStart"/>
      <w:r w:rsidRPr="00F20938">
        <w:rPr>
          <w:rFonts w:ascii="Times New Roman" w:eastAsia="標楷體" w:hAnsi="Times New Roman" w:cs="Times New Roman"/>
          <w:sz w:val="26"/>
          <w:szCs w:val="26"/>
        </w:rPr>
        <w:t>藉此</w:t>
      </w:r>
      <w:proofErr w:type="gramEnd"/>
      <w:r w:rsidRPr="00F20938">
        <w:rPr>
          <w:rFonts w:ascii="Times New Roman" w:eastAsia="標楷體" w:hAnsi="Times New Roman" w:cs="Times New Roman"/>
          <w:sz w:val="26"/>
          <w:szCs w:val="26"/>
        </w:rPr>
        <w:t>實現公正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/>
          <w:sz w:val="26"/>
          <w:szCs w:val="26"/>
        </w:rPr>
        <w:t>保障基本權利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/>
          <w:sz w:val="26"/>
          <w:szCs w:val="26"/>
        </w:rPr>
        <w:t>重建法律上的安寜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/>
          <w:sz w:val="26"/>
          <w:szCs w:val="26"/>
        </w:rPr>
        <w:t>尋求實現訴訟中各利益的和諧共存</w:t>
      </w:r>
    </w:p>
    <w:p w:rsidR="00536371" w:rsidRPr="00F20938" w:rsidRDefault="00536371" w:rsidP="00536371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</w:rPr>
        <w:t>刑事訴訟在不同時空的某些立法原則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彈劾主義</w:t>
      </w:r>
      <w:proofErr w:type="gramStart"/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與糾問主義</w:t>
      </w:r>
      <w:proofErr w:type="gramEnd"/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國家追訴主義、被害人追訴主義及一般追訴主義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勵行主義與便宜主義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當事人進行主義與</w:t>
      </w:r>
      <w:r w:rsidR="006B3A2B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職</w:t>
      </w:r>
      <w:bookmarkStart w:id="0" w:name="_GoBack"/>
      <w:bookmarkEnd w:id="0"/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權進行主義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實質真實發現主義與形式真實發現主義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直接審理主義與間接審理主義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言詞審理主義與書面審理主義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法官審理主義與陪審主義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自由心證主義與法定證據主義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審判公開主義與審判秘密主義</w:t>
      </w:r>
    </w:p>
    <w:p w:rsidR="00536371" w:rsidRPr="00F20938" w:rsidRDefault="00536371" w:rsidP="00536371">
      <w:pPr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</w:rPr>
        <w:t>刑事訴訟程序的一般原則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關於促進或推進刑事訴訟程序的原則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職權原則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合法性原則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審檢分立</w:t>
      </w:r>
      <w:proofErr w:type="gramEnd"/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原則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或控訴原則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關於進行刑事訴訟程序的原則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調查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辯論原則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充足原則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集中原則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密集原則）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快捷原則及訴訟經濟原則</w:t>
      </w: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*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關於證據的原則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調查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原則或實質真相原則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自由心證原則或自由評價證據原則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罪</w:t>
      </w:r>
      <w:proofErr w:type="gramStart"/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疑</w:t>
      </w:r>
      <w:proofErr w:type="gramEnd"/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從無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從輕）</w:t>
      </w: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原則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：存疑無罪原則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疑點利益歸於被告原則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關於形式的原則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公開原則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口頭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言詞辯論）</w:t>
      </w: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原則及直接原則</w:t>
      </w:r>
    </w:p>
    <w:p w:rsidR="00536371" w:rsidRPr="00F20938" w:rsidRDefault="00536371" w:rsidP="00536371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</w:rPr>
        <w:t>訴訟主體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訴訟主體與訴訟參與人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法院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職能及特徵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lastRenderedPageBreak/>
        <w:t>自然法官原則或法定法官原則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法官獨立原則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在澳門特區具刑事管轄權的法院</w:t>
      </w:r>
    </w:p>
    <w:p w:rsidR="00536371" w:rsidRPr="00F20938" w:rsidRDefault="00536371" w:rsidP="00536371">
      <w:pPr>
        <w:pStyle w:val="a3"/>
        <w:numPr>
          <w:ilvl w:val="3"/>
          <w:numId w:val="5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刑事起訴法庭</w:t>
      </w:r>
    </w:p>
    <w:p w:rsidR="00536371" w:rsidRPr="00F20938" w:rsidRDefault="00536371" w:rsidP="00536371">
      <w:pPr>
        <w:pStyle w:val="a3"/>
        <w:numPr>
          <w:ilvl w:val="3"/>
          <w:numId w:val="5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初級法院刑事法庭</w:t>
      </w:r>
    </w:p>
    <w:p w:rsidR="00536371" w:rsidRPr="00F20938" w:rsidRDefault="00536371" w:rsidP="00536371">
      <w:pPr>
        <w:pStyle w:val="a3"/>
        <w:numPr>
          <w:ilvl w:val="3"/>
          <w:numId w:val="5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中級法院</w:t>
      </w:r>
    </w:p>
    <w:p w:rsidR="00536371" w:rsidRPr="00F20938" w:rsidRDefault="00536371" w:rsidP="00536371">
      <w:pPr>
        <w:pStyle w:val="a3"/>
        <w:numPr>
          <w:ilvl w:val="3"/>
          <w:numId w:val="5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終審法院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合議庭管轄權與</w:t>
      </w:r>
      <w:proofErr w:type="gramStart"/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獨任庭管轄</w:t>
      </w:r>
      <w:proofErr w:type="gramEnd"/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權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牽連管轄權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無管轄權的宣告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管轄權的衝突</w:t>
      </w:r>
    </w:p>
    <w:p w:rsidR="00536371" w:rsidRPr="00F20938" w:rsidRDefault="00536371" w:rsidP="00536371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迴避、推卻及自行迴避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檢察院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在刑事訴訟程序中的職能及特徵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檢察院的獨立性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檢察院的正當性與公罪、</w:t>
      </w:r>
      <w:proofErr w:type="gramStart"/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準</w:t>
      </w:r>
      <w:proofErr w:type="gramEnd"/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公罪和</w:t>
      </w:r>
      <w:proofErr w:type="gramStart"/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私罪</w:t>
      </w:r>
      <w:proofErr w:type="gramEnd"/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的制度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檢察院與刑事警察機關的關係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迴避、推卻及自行迴避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嫌犯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嫌犯的概念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在刑事訴訟程序中的法律地位：訴訟上的權利與義務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嫌犯的聲明及訊問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無罪推定原則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辯護人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在刑事訴訟程序中的職能及法律地位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辯護人援助的強制性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自由選擇辯護人原則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委託優於指定辯護人原則）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辯護人的替換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輔助人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刑事訴訟程序中的被害人與輔助人的概念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成為輔助人須符合的條件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輔助人在刑事訴訟程序中的法律地位</w:t>
      </w:r>
    </w:p>
    <w:p w:rsidR="00536371" w:rsidRPr="00245C6F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民事當事人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受害人與民事當事人的概念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依附原則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刑事附帶民事損害賠償請求）</w:t>
      </w: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及例外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民事當事人在訴訟程序中的法律地位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刑事附帶民事訴訟程序的步驟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依職權裁定的民事損害賠償</w:t>
      </w:r>
    </w:p>
    <w:p w:rsidR="00536371" w:rsidRPr="00F20938" w:rsidRDefault="00536371" w:rsidP="00536371">
      <w:pPr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  <w:lang w:val="pt-PT"/>
        </w:rPr>
        <w:t>證據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證據的意義及概念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證據的種類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證據自由原則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證據方法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人證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嫌犯、輔助人及民事當事人之聲明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透過對質之證據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透過辨認之證據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事實之重演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鑑定證據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書證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獲得證據的方法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檢查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搜查及搜索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扣押</w:t>
      </w:r>
    </w:p>
    <w:p w:rsidR="00536371" w:rsidRPr="00F20938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電話監聽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證據的證明力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證據在偵查階段中的作用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證據在採用強制措施時的作用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證據在審判階段中的作用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禁用證據制度</w:t>
      </w:r>
    </w:p>
    <w:p w:rsidR="00536371" w:rsidRPr="00F20938" w:rsidRDefault="00536371" w:rsidP="00536371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  <w:lang w:val="pt-PT"/>
        </w:rPr>
        <w:lastRenderedPageBreak/>
        <w:t>訴訟行為的無效情事及不當情事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訴訟行為的不法情事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無效情事的法定原則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無效情事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不可補正的無效情事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取決於爭辯的無效情事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取決於爭辯的無效情事的爭辯期間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宣告無效的效力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不當情事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不當情事的爭辯期間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宣告不當情事的效力</w:t>
      </w:r>
    </w:p>
    <w:p w:rsidR="00536371" w:rsidRPr="00F20938" w:rsidRDefault="00536371" w:rsidP="00536371">
      <w:pPr>
        <w:pStyle w:val="a3"/>
        <w:ind w:leftChars="0"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  <w:lang w:val="pt-PT"/>
        </w:rPr>
        <w:t>強制措施</w:t>
      </w:r>
    </w:p>
    <w:p w:rsidR="00536371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強制措施與財產擔保措施的分別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C722F">
        <w:rPr>
          <w:rFonts w:ascii="Times New Roman" w:eastAsia="標楷體" w:hAnsi="Times New Roman" w:cs="Times New Roman" w:hint="eastAsia"/>
          <w:sz w:val="26"/>
          <w:szCs w:val="26"/>
        </w:rPr>
        <w:t>經濟擔保</w:t>
      </w:r>
    </w:p>
    <w:p w:rsidR="00536371" w:rsidRPr="005C722F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5C722F">
        <w:rPr>
          <w:rFonts w:ascii="Times New Roman" w:eastAsia="標楷體" w:hAnsi="Times New Roman" w:cs="Times New Roman" w:hint="eastAsia"/>
          <w:sz w:val="26"/>
          <w:szCs w:val="26"/>
        </w:rPr>
        <w:t>預防性假扣押</w:t>
      </w:r>
      <w:proofErr w:type="gramEnd"/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強制措施與無罪推定原則相抵觸的問題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強制措施的法定原則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強制措施的適當及適度原則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採用強制措施的一般要件</w:t>
      </w:r>
    </w:p>
    <w:p w:rsidR="00536371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強制措施的種類</w:t>
      </w:r>
    </w:p>
    <w:p w:rsidR="00536371" w:rsidRPr="00D44E44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44E44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身份資料及居所書錄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擔保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定期報到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lastRenderedPageBreak/>
        <w:t>禁止離境、接觸或進入地方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中止執行職務、從事職業或行使權利</w:t>
      </w:r>
    </w:p>
    <w:p w:rsidR="00536371" w:rsidRPr="00D44E44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羈押</w:t>
      </w:r>
    </w:p>
    <w:p w:rsidR="00536371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</w:t>
      </w:r>
      <w:r w:rsidRPr="00D44E44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的廢止、變更及消滅</w:t>
      </w:r>
    </w:p>
    <w:p w:rsidR="00536371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E44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強制措施的最長存續期間</w:t>
      </w:r>
    </w:p>
    <w:p w:rsidR="00536371" w:rsidRPr="00D44E44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強制措施的申訴方式</w:t>
      </w:r>
    </w:p>
    <w:p w:rsidR="00536371" w:rsidRPr="00F20938" w:rsidRDefault="00536371" w:rsidP="00536371">
      <w:pPr>
        <w:pStyle w:val="a3"/>
        <w:ind w:leftChars="0"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  <w:lang w:val="pt-PT"/>
        </w:rPr>
        <w:t>訴訟程序的形式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特別訴訟程序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簡易訴訟程序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簡捷訴訟程序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最簡易訴訟程序</w:t>
      </w:r>
    </w:p>
    <w:p w:rsidR="00536371" w:rsidRPr="00F20938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 w:hint="eastAsia"/>
          <w:sz w:val="26"/>
          <w:szCs w:val="26"/>
        </w:rPr>
        <w:t>輕微違反訴訟程序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普通訴訟程序</w:t>
      </w:r>
    </w:p>
    <w:p w:rsidR="00536371" w:rsidRPr="00F20938" w:rsidRDefault="00536371" w:rsidP="00536371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536371" w:rsidRPr="00F20938" w:rsidRDefault="00536371" w:rsidP="00536371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b/>
          <w:sz w:val="32"/>
          <w:szCs w:val="32"/>
        </w:rPr>
        <w:t>刑事普通訴訟程序的訴訟階段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〈第一審〉</w:t>
      </w:r>
    </w:p>
    <w:p w:rsidR="00536371" w:rsidRPr="00F20938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初步</w:t>
      </w: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階段</w:t>
      </w:r>
      <w:r w:rsidRPr="00947C04"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偵查</w:t>
      </w: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立案前）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犯罪消息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義務檢舉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任意檢舉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提出告訴或自訴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實況筆錄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保全措施及警察措施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認別涉嫌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人身分及索求資料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關於證據的保全措施</w:t>
      </w:r>
    </w:p>
    <w:p w:rsidR="00536371" w:rsidRPr="00947C04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警方報告</w:t>
      </w:r>
    </w:p>
    <w:p w:rsidR="00536371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偵查階段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20938">
        <w:rPr>
          <w:rFonts w:ascii="Times New Roman" w:eastAsia="標楷體" w:hAnsi="Times New Roman" w:cs="Times New Roman"/>
          <w:sz w:val="26"/>
          <w:szCs w:val="26"/>
        </w:rPr>
        <w:lastRenderedPageBreak/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開立及登記成為偵查案件後的）刑事偵查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47C04">
        <w:rPr>
          <w:rFonts w:ascii="Times New Roman" w:eastAsia="標楷體" w:hAnsi="Times New Roman" w:cs="Times New Roman" w:hint="eastAsia"/>
          <w:sz w:val="26"/>
          <w:szCs w:val="26"/>
        </w:rPr>
        <w:t>拘留：現行犯與非現行犯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成為嫌犯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證據方法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獲得證據的方法</w:t>
      </w:r>
    </w:p>
    <w:p w:rsidR="00536371" w:rsidRPr="00735609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強制措施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財產擔保措施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刑事起訴法庭法官在偵查階段的介入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非主動介入）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由刑事起訴法庭法官作出的行為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由刑事起訴法庭法官命令或許可的行為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供未來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備忘用的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聲明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偵查的終結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偵查的最長存續期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檢察院作出歸檔批示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向持案檢察院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司法官的直屬上級提出異議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持案檢察院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司法官的直屬上級介入</w:t>
      </w:r>
    </w:p>
    <w:p w:rsidR="00536371" w:rsidRPr="001F253A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偵查的重開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檢察院作出控訴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輔助人提出自訴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非自訴的刑事程序）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如屬免除刑罰情況，由檢察院建議歸檔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檢察院建議暫時中止訴訟程序</w:t>
      </w:r>
    </w:p>
    <w:p w:rsidR="00536371" w:rsidRPr="0094613B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如屬非經自訴不得進行刑事程序，輔助人提出自訴</w:t>
      </w:r>
    </w:p>
    <w:p w:rsidR="00536371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預審階段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預審的目的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聲請展開預審的情況及正當性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檢察院提出控訴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或輔助人就私罪提出自訴）</w:t>
      </w:r>
    </w:p>
    <w:p w:rsidR="00536371" w:rsidRPr="00BF5CB4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檢察院作出歸檔批示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預審聲請的駁回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調查行為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預審辯論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預審辯論的目的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控訴書或展開預審聲請書中所描述事實的變更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預審終結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預審的最長存續期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起訴批示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不起訴批示</w:t>
      </w:r>
    </w:p>
    <w:p w:rsidR="00536371" w:rsidRPr="006E77BD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對預審裁決的可上訴性</w:t>
      </w:r>
    </w:p>
    <w:p w:rsidR="00536371" w:rsidRDefault="00536371" w:rsidP="00536371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822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審判階段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先前行為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訴訟程序的清理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控訴的事實範圍超越可法律容許的範圍</w:t>
      </w:r>
    </w:p>
    <w:p w:rsidR="00536371" w:rsidRPr="000853A5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先前問題或附隨問題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指定聽證日期的批示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內容及通知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訴訟程序的公開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提交答辯、證人名單及聲請證據措施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審判聽證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一般規定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聽證的公開及其限制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公開原則</w:t>
      </w:r>
      <w:r w:rsidRPr="00B21778">
        <w:rPr>
          <w:rFonts w:ascii="Times New Roman" w:eastAsia="標楷體" w:hAnsi="Times New Roman" w:cs="Times New Roman"/>
          <w:sz w:val="26"/>
          <w:szCs w:val="26"/>
        </w:rPr>
        <w:sym w:font="Wingdings" w:char="F0DF"/>
      </w:r>
      <w:r w:rsidRPr="00B21778">
        <w:rPr>
          <w:rFonts w:ascii="Times New Roman" w:eastAsia="標楷體" w:hAnsi="Times New Roman" w:cs="Times New Roman"/>
          <w:sz w:val="26"/>
          <w:szCs w:val="26"/>
        </w:rPr>
        <w:sym w:font="Wingdings" w:char="F0E0"/>
      </w:r>
      <w:r>
        <w:rPr>
          <w:rFonts w:ascii="Times New Roman" w:eastAsia="標楷體" w:hAnsi="Times New Roman" w:cs="Times New Roman" w:hint="eastAsia"/>
          <w:sz w:val="26"/>
          <w:szCs w:val="26"/>
        </w:rPr>
        <w:t>司法保密原則）</w:t>
      </w:r>
    </w:p>
    <w:p w:rsidR="00536371" w:rsidRPr="005B5DDC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聽證的紀律及領導權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聽證的辯論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辯論原則）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聽證的連續性原則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集中原則或密集原則）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口頭及直接原則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初端行為</w:t>
      </w:r>
      <w:proofErr w:type="gramEnd"/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檢察院、辯護人、輔助人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民事當事人的代理人的缺席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嫌犯的缺席及缺席審判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輔助人、民事當事人、證人或鑑定人的缺席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先前問題或附隨問題</w:t>
      </w:r>
    </w:p>
    <w:p w:rsidR="00536371" w:rsidRPr="000173B5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初端闡述</w:t>
      </w:r>
      <w:proofErr w:type="gramEnd"/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調查證據</w:t>
      </w:r>
    </w:p>
    <w:p w:rsidR="00536371" w:rsidRPr="00863A6B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嫌犯的聲明</w:t>
      </w:r>
    </w:p>
    <w:p w:rsidR="00536371" w:rsidRDefault="00536371" w:rsidP="00536371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嫌犯的身分認別</w:t>
      </w:r>
    </w:p>
    <w:p w:rsidR="00536371" w:rsidRDefault="00536371" w:rsidP="00536371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自認</w:t>
      </w:r>
    </w:p>
    <w:p w:rsidR="00536371" w:rsidRDefault="00536371" w:rsidP="00536371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沉默權</w:t>
      </w:r>
    </w:p>
    <w:p w:rsidR="00536371" w:rsidRDefault="00536371" w:rsidP="00536371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嫌犯聲明的容許宣讀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由檢察院、輔助人及民事原告指定的證據方法</w:t>
      </w:r>
    </w:p>
    <w:p w:rsidR="00536371" w:rsidRDefault="00536371" w:rsidP="0053637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輔助人或民事當事人的聲明</w:t>
      </w:r>
    </w:p>
    <w:p w:rsidR="00536371" w:rsidRDefault="00536371" w:rsidP="0053637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詢問證人</w:t>
      </w:r>
    </w:p>
    <w:p w:rsidR="00536371" w:rsidRDefault="00536371" w:rsidP="0053637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鑑定人的聲明</w:t>
      </w:r>
    </w:p>
    <w:p w:rsidR="00536371" w:rsidRDefault="00536371" w:rsidP="0053637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嫌犯的暫時離場</w:t>
      </w:r>
    </w:p>
    <w:p w:rsidR="00536371" w:rsidRDefault="00536371" w:rsidP="0053637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筆錄或聲明的容許宣讀</w:t>
      </w:r>
    </w:p>
    <w:p w:rsidR="00536371" w:rsidRDefault="00536371" w:rsidP="00536371">
      <w:pPr>
        <w:pStyle w:val="a3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地方的檢查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由嫌犯及民事被告指定的證據方法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控訴書或起訴書所描述事實的變更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非實質變更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實質變更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口頭陳述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嫌犯的最後聲明</w:t>
      </w:r>
    </w:p>
    <w:p w:rsidR="00536371" w:rsidRDefault="00536371" w:rsidP="0053637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判決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獨任庭判決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與合議庭裁判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社會報告書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為確定制裁而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重開聽證</w:t>
      </w:r>
      <w:proofErr w:type="gramEnd"/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製作及宣讀判決書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判決書的要件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先前問題或附隨問題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有罪判決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無罪判決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關於民事損害賠償請求的裁判</w:t>
      </w:r>
    </w:p>
    <w:p w:rsidR="00536371" w:rsidRDefault="00536371" w:rsidP="00536371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依職權裁定的民事損害賠償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無罪判決的公布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判決的無效</w:t>
      </w:r>
    </w:p>
    <w:p w:rsidR="00536371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判決的更正</w:t>
      </w:r>
    </w:p>
    <w:p w:rsidR="00536371" w:rsidRPr="00E46595" w:rsidRDefault="00536371" w:rsidP="00536371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判決的確定</w:t>
      </w:r>
    </w:p>
    <w:p w:rsidR="00536371" w:rsidRDefault="00536371" w:rsidP="00536371"/>
    <w:p w:rsidR="00536371" w:rsidRDefault="00536371" w:rsidP="00536371">
      <w:r>
        <w:br w:type="page"/>
      </w:r>
    </w:p>
    <w:p w:rsidR="00536371" w:rsidRDefault="00536371" w:rsidP="0053637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【</w:t>
      </w:r>
      <w:r>
        <w:rPr>
          <w:rFonts w:ascii="Times New Roman" w:eastAsia="標楷體" w:hAnsi="Times New Roman" w:cs="Times New Roman" w:hint="eastAsia"/>
          <w:sz w:val="32"/>
          <w:szCs w:val="32"/>
        </w:rPr>
        <w:t>參考書目</w:t>
      </w:r>
      <w:r w:rsidRPr="00F20938">
        <w:rPr>
          <w:rFonts w:ascii="Times New Roman" w:eastAsia="標楷體" w:hAnsi="Times New Roman" w:cs="Times New Roman" w:hint="eastAsia"/>
          <w:sz w:val="32"/>
          <w:szCs w:val="32"/>
        </w:rPr>
        <w:t>】</w:t>
      </w:r>
    </w:p>
    <w:p w:rsidR="00536371" w:rsidRDefault="00536371" w:rsidP="00536371">
      <w:pPr>
        <w:spacing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喬治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‧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德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‧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菲格雷多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‧迪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亞士</w:t>
      </w:r>
      <w:r w:rsidRPr="00F20938">
        <w:rPr>
          <w:rFonts w:ascii="Times New Roman" w:eastAsia="標楷體" w:hAnsi="Times New Roman" w:cs="Times New Roman"/>
          <w:sz w:val="26"/>
          <w:szCs w:val="26"/>
        </w:rPr>
        <w:t>（</w:t>
      </w:r>
      <w:r w:rsidRPr="00B5566C">
        <w:rPr>
          <w:rFonts w:ascii="Times New Roman" w:eastAsia="標楷體" w:hAnsi="Times New Roman" w:cs="Times New Roman"/>
          <w:sz w:val="26"/>
          <w:szCs w:val="26"/>
        </w:rPr>
        <w:t xml:space="preserve">Jorge de </w:t>
      </w:r>
      <w:proofErr w:type="spellStart"/>
      <w:r w:rsidRPr="00B5566C">
        <w:rPr>
          <w:rFonts w:ascii="Times New Roman" w:eastAsia="標楷體" w:hAnsi="Times New Roman" w:cs="Times New Roman"/>
          <w:sz w:val="26"/>
          <w:szCs w:val="26"/>
        </w:rPr>
        <w:t>Figueiredo</w:t>
      </w:r>
      <w:proofErr w:type="spellEnd"/>
      <w:r w:rsidRPr="00B5566C">
        <w:rPr>
          <w:rFonts w:ascii="Times New Roman" w:eastAsia="標楷體" w:hAnsi="Times New Roman" w:cs="Times New Roman"/>
          <w:sz w:val="26"/>
          <w:szCs w:val="26"/>
        </w:rPr>
        <w:t xml:space="preserve"> Dias</w:t>
      </w:r>
      <w:proofErr w:type="gramStart"/>
      <w:r w:rsidRPr="00B5566C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著</w:t>
      </w:r>
      <w:proofErr w:type="gramEnd"/>
      <w:r w:rsidRPr="00B5566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馬哲、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繳潔譯</w:t>
      </w:r>
      <w:proofErr w:type="gramEnd"/>
      <w:r w:rsidRPr="00B5566C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《刑事訴訟法》</w:t>
      </w:r>
      <w:r w:rsidRPr="00B5566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社會科學文獻出版社</w:t>
      </w:r>
      <w:r w:rsidRPr="00B5566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澳門大學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>
        <w:rPr>
          <w:rFonts w:ascii="Times New Roman" w:eastAsia="標楷體" w:hAnsi="Times New Roman" w:cs="Times New Roman"/>
          <w:sz w:val="26"/>
          <w:szCs w:val="26"/>
          <w:lang w:val="pt-PT"/>
        </w:rPr>
        <w:t>Germano Marques da Silva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CURSO DE PROCESSO PENAL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Vol. 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I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4.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ª Edição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Editorial VERBO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2000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Germano Marques da Silva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CURSO DE PROCESSO PENAL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Vol. I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I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3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.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ª Edição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Editorial VERBO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200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Germano Marques da Silva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CURSO DE PROCESSO PENAL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Vol. I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I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I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.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ª Edição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Editorial VERBO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Pr="002B4E76">
        <w:rPr>
          <w:rFonts w:ascii="Times New Roman" w:eastAsia="標楷體" w:hAnsi="Times New Roman" w:cs="Times New Roman"/>
          <w:sz w:val="26"/>
          <w:szCs w:val="26"/>
          <w:lang w:val="pt-PT"/>
        </w:rPr>
        <w:t>200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0</w:t>
      </w:r>
      <w:r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徐京輝、</w:t>
      </w:r>
      <w:proofErr w:type="gramStart"/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程立福著</w:t>
      </w:r>
      <w:proofErr w:type="gramEnd"/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：《澳門刑事訴訟法》，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1999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4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月第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1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版，澳門基金會出版。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邱庭彪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著</w:t>
      </w:r>
      <w:proofErr w:type="gramEnd"/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：《澳門刑事訴訟法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分論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社會科學文獻出版社</w:t>
      </w:r>
      <w:r w:rsidRPr="00B5566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澳門基金會</w:t>
      </w:r>
      <w:r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gramStart"/>
      <w:r w:rsidRPr="00932B9B">
        <w:rPr>
          <w:rFonts w:ascii="Times New Roman" w:eastAsia="標楷體" w:hAnsi="Times New Roman" w:cs="Times New Roman"/>
          <w:sz w:val="26"/>
          <w:szCs w:val="26"/>
          <w:lang w:val="pt-PT"/>
        </w:rPr>
        <w:t>Manuel Leal-Henriques</w:t>
      </w:r>
      <w:r>
        <w:rPr>
          <w:rFonts w:ascii="Times New Roman" w:eastAsia="標楷體" w:hAnsi="Times New Roman" w:cs="Times New Roman" w:hint="eastAsia"/>
          <w:sz w:val="26"/>
          <w:szCs w:val="26"/>
        </w:rPr>
        <w:t>著</w:t>
      </w:r>
      <w:proofErr w:type="gramEnd"/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</w:rPr>
        <w:t>盧映霞譯</w:t>
      </w:r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：《澳門刑事訴訟法教程》上冊</w:t>
      </w:r>
      <w:r w:rsidRPr="00932B9B">
        <w:rPr>
          <w:rFonts w:ascii="Times New Roman" w:eastAsia="標楷體" w:hAnsi="Times New Roman" w:cs="Times New Roman"/>
          <w:sz w:val="26"/>
          <w:szCs w:val="26"/>
          <w:lang w:val="pt-PT"/>
        </w:rPr>
        <w:t>（</w:t>
      </w:r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第</w:t>
      </w:r>
      <w:r w:rsidR="00AA0A12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三</w:t>
      </w:r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版</w:t>
      </w:r>
      <w:r w:rsidR="00AA0A12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，修正及更新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）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─</w:t>
      </w:r>
      <w:proofErr w:type="gramEnd"/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中文版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，法律及司法培訓中心，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20</w:t>
      </w:r>
      <w:r w:rsidR="00AA0A12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0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gramStart"/>
      <w:r w:rsidRPr="00932B9B">
        <w:rPr>
          <w:rFonts w:ascii="Times New Roman" w:eastAsia="標楷體" w:hAnsi="Times New Roman" w:cs="Times New Roman"/>
          <w:sz w:val="26"/>
          <w:szCs w:val="26"/>
          <w:lang w:val="pt-PT"/>
        </w:rPr>
        <w:t>Manuel Leal-Henriques</w:t>
      </w:r>
      <w:r>
        <w:rPr>
          <w:rFonts w:ascii="Times New Roman" w:eastAsia="標楷體" w:hAnsi="Times New Roman" w:cs="Times New Roman" w:hint="eastAsia"/>
          <w:sz w:val="26"/>
          <w:szCs w:val="26"/>
        </w:rPr>
        <w:t>著</w:t>
      </w:r>
      <w:proofErr w:type="gramEnd"/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</w:rPr>
        <w:t>盧映霞譯</w:t>
      </w:r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：《澳門刑事訴訟法教程》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下</w:t>
      </w:r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冊</w:t>
      </w:r>
      <w:r w:rsidRPr="00932B9B">
        <w:rPr>
          <w:rFonts w:ascii="Times New Roman" w:eastAsia="標楷體" w:hAnsi="Times New Roman" w:cs="Times New Roman"/>
          <w:sz w:val="26"/>
          <w:szCs w:val="26"/>
          <w:lang w:val="pt-PT"/>
        </w:rPr>
        <w:t>（</w:t>
      </w:r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第</w:t>
      </w:r>
      <w:r w:rsidR="000C419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三</w:t>
      </w:r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版</w:t>
      </w:r>
      <w:r w:rsidR="000C419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，修正及更新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）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─</w:t>
      </w:r>
      <w:proofErr w:type="gramEnd"/>
      <w:r w:rsidRPr="00932B9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中文版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，法律及司法培訓中心，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20</w:t>
      </w:r>
      <w:r w:rsidR="000C419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0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年。</w:t>
      </w:r>
    </w:p>
    <w:p w:rsidR="00536371" w:rsidRPr="00EF359E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EF359E">
        <w:rPr>
          <w:rFonts w:ascii="Times New Roman" w:eastAsia="標楷體" w:hAnsi="Times New Roman" w:cs="Times New Roman"/>
          <w:sz w:val="26"/>
          <w:szCs w:val="26"/>
          <w:lang w:val="pt-PT"/>
        </w:rPr>
        <w:t>Leal-Henriques</w:t>
      </w:r>
      <w:r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及</w:t>
      </w:r>
      <w:r w:rsidRPr="00EF359E">
        <w:rPr>
          <w:rFonts w:ascii="Times New Roman" w:eastAsia="標楷體" w:hAnsi="Times New Roman" w:cs="Times New Roman"/>
          <w:sz w:val="26"/>
          <w:szCs w:val="26"/>
          <w:lang w:val="pt-PT"/>
        </w:rPr>
        <w:t>Simas-Santos</w:t>
      </w:r>
      <w:r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Pr="00EF359E">
        <w:rPr>
          <w:rFonts w:ascii="Times New Roman" w:eastAsia="標楷體" w:hAnsi="Times New Roman" w:cs="Times New Roman"/>
          <w:sz w:val="26"/>
          <w:szCs w:val="26"/>
          <w:lang w:val="pt-PT"/>
        </w:rPr>
        <w:t>CÓDIGO DE PROCESSO PENAL DE MACAU</w:t>
      </w:r>
      <w:r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Pr="00EF359E">
        <w:rPr>
          <w:rFonts w:ascii="Times New Roman" w:eastAsia="標楷體" w:hAnsi="Times New Roman" w:cs="Times New Roman"/>
          <w:sz w:val="26"/>
          <w:szCs w:val="26"/>
          <w:lang w:val="pt-PT"/>
        </w:rPr>
        <w:t>MACAU</w:t>
      </w:r>
      <w:r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Pr="00EF359E">
        <w:rPr>
          <w:rFonts w:ascii="Times New Roman" w:eastAsia="標楷體" w:hAnsi="Times New Roman" w:cs="Times New Roman"/>
          <w:sz w:val="26"/>
          <w:szCs w:val="26"/>
          <w:lang w:val="pt-PT"/>
        </w:rPr>
        <w:t>1997</w:t>
      </w:r>
      <w:r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年。</w:t>
      </w:r>
    </w:p>
    <w:p w:rsidR="00536371" w:rsidRDefault="00536371" w:rsidP="00536371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gramStart"/>
      <w:r w:rsidRPr="00E455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Claus </w:t>
      </w:r>
      <w:proofErr w:type="spellStart"/>
      <w:r w:rsidRPr="00E45517">
        <w:rPr>
          <w:rFonts w:ascii="Times New Roman" w:eastAsia="標楷體" w:hAnsi="Times New Roman" w:cs="Times New Roman"/>
          <w:sz w:val="26"/>
          <w:szCs w:val="26"/>
          <w:lang w:val="pt-PT"/>
        </w:rPr>
        <w:t>Roxin</w:t>
      </w:r>
      <w:proofErr w:type="spellEnd"/>
      <w:r w:rsidRPr="00E455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著</w:t>
      </w:r>
      <w:proofErr w:type="gramEnd"/>
      <w:r w:rsidRPr="00E455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，吳麗琪譯：《德國刑事訴訟法》，中國法律出版社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536371" w:rsidRPr="00C3286A" w:rsidRDefault="00536371" w:rsidP="00C3286A">
      <w:pPr>
        <w:spacing w:afterLines="50" w:after="180"/>
        <w:jc w:val="both"/>
        <w:rPr>
          <w:rFonts w:ascii="Times New Roman" w:eastAsia="標楷體" w:hAnsi="Times New Roman" w:cs="Times New Roman" w:hint="eastAsia"/>
          <w:sz w:val="26"/>
          <w:szCs w:val="26"/>
          <w:lang w:val="pt-PT"/>
        </w:rPr>
      </w:pPr>
    </w:p>
    <w:p w:rsidR="00536371" w:rsidRPr="002B4E76" w:rsidRDefault="00536371" w:rsidP="00536371">
      <w:pPr>
        <w:spacing w:afterLines="50" w:after="180"/>
        <w:rPr>
          <w:lang w:val="pt-PT"/>
        </w:rPr>
      </w:pPr>
    </w:p>
    <w:p w:rsidR="00536371" w:rsidRDefault="00536371" w:rsidP="00536371"/>
    <w:p w:rsidR="000A27A6" w:rsidRPr="00536371" w:rsidRDefault="000A27A6"/>
    <w:sectPr w:rsidR="000A27A6" w:rsidRPr="0053637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E9" w:rsidRDefault="00F732E9" w:rsidP="00536371">
      <w:r>
        <w:separator/>
      </w:r>
    </w:p>
  </w:endnote>
  <w:endnote w:type="continuationSeparator" w:id="0">
    <w:p w:rsidR="00F732E9" w:rsidRDefault="00F732E9" w:rsidP="0053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39995"/>
      <w:docPartObj>
        <w:docPartGallery w:val="Page Numbers (Bottom of Page)"/>
        <w:docPartUnique/>
      </w:docPartObj>
    </w:sdtPr>
    <w:sdtEndPr/>
    <w:sdtContent>
      <w:p w:rsidR="00F263CB" w:rsidRDefault="00F732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7D19">
          <w:rPr>
            <w:noProof/>
            <w:lang w:val="zh-TW"/>
          </w:rPr>
          <w:t>7</w:t>
        </w:r>
        <w:r>
          <w:fldChar w:fldCharType="end"/>
        </w:r>
      </w:p>
    </w:sdtContent>
  </w:sdt>
  <w:p w:rsidR="00F263CB" w:rsidRDefault="00F732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E9" w:rsidRDefault="00F732E9" w:rsidP="00536371">
      <w:r>
        <w:separator/>
      </w:r>
    </w:p>
  </w:footnote>
  <w:footnote w:type="continuationSeparator" w:id="0">
    <w:p w:rsidR="00F732E9" w:rsidRDefault="00F732E9" w:rsidP="0053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3CB" w:rsidRPr="00FC7C8C" w:rsidRDefault="00F732E9">
    <w:pPr>
      <w:pStyle w:val="a4"/>
      <w:rPr>
        <w:rFonts w:ascii="Times New Roman" w:eastAsia="標楷體" w:hAnsi="Times New Roman" w:cs="Times New Roman"/>
      </w:rPr>
    </w:pPr>
    <w:r w:rsidRPr="00FC7C8C">
      <w:rPr>
        <w:rFonts w:ascii="Times New Roman" w:eastAsia="標楷體" w:hAnsi="Times New Roman" w:cs="Times New Roman"/>
      </w:rPr>
      <w:t>20</w:t>
    </w:r>
    <w:r>
      <w:rPr>
        <w:rFonts w:ascii="Times New Roman" w:eastAsia="標楷體" w:hAnsi="Times New Roman" w:cs="Times New Roman" w:hint="eastAsia"/>
      </w:rPr>
      <w:t>2</w:t>
    </w:r>
    <w:r w:rsidR="00536371">
      <w:rPr>
        <w:rFonts w:ascii="Times New Roman" w:eastAsia="標楷體" w:hAnsi="Times New Roman" w:cs="Times New Roman"/>
      </w:rPr>
      <w:t>2</w:t>
    </w:r>
    <w:r>
      <w:rPr>
        <w:rFonts w:ascii="Times New Roman" w:eastAsia="標楷體" w:hAnsi="Times New Roman" w:cs="Times New Roman"/>
      </w:rPr>
      <w:t>/202</w:t>
    </w:r>
    <w:r w:rsidR="00536371">
      <w:rPr>
        <w:rFonts w:ascii="Times New Roman" w:eastAsia="標楷體" w:hAnsi="Times New Roman" w:cs="Times New Roman"/>
      </w:rPr>
      <w:t>3</w:t>
    </w:r>
    <w:r w:rsidRPr="00FC7C8C">
      <w:rPr>
        <w:rFonts w:ascii="Times New Roman" w:eastAsia="標楷體" w:hAnsi="Times New Roman" w:cs="Times New Roman"/>
      </w:rPr>
      <w:t>年度澳門大學法學院中文法學士課程</w:t>
    </w:r>
  </w:p>
  <w:p w:rsidR="00F263CB" w:rsidRDefault="00F732E9">
    <w:pPr>
      <w:pStyle w:val="a4"/>
      <w:rPr>
        <w:rFonts w:ascii="Times New Roman" w:eastAsia="標楷體" w:hAnsi="Times New Roman" w:cs="Times New Roman"/>
      </w:rPr>
    </w:pPr>
    <w:r w:rsidRPr="00FC7C8C">
      <w:rPr>
        <w:rFonts w:ascii="Times New Roman" w:eastAsia="標楷體" w:hAnsi="Times New Roman" w:cs="Times New Roman"/>
      </w:rPr>
      <w:t>刑事訴訟法</w:t>
    </w:r>
    <w:r>
      <w:rPr>
        <w:rFonts w:ascii="Times New Roman" w:eastAsia="標楷體" w:hAnsi="Times New Roman" w:cs="Times New Roman" w:hint="eastAsia"/>
      </w:rPr>
      <w:t xml:space="preserve">  </w:t>
    </w:r>
    <w:r>
      <w:rPr>
        <w:rFonts w:ascii="Times New Roman" w:eastAsia="標楷體" w:hAnsi="Times New Roman" w:cs="Times New Roman" w:hint="eastAsia"/>
      </w:rPr>
      <w:t>授課內容摘要</w:t>
    </w:r>
  </w:p>
  <w:p w:rsidR="00F263CB" w:rsidRPr="00FC7C8C" w:rsidRDefault="00F732E9">
    <w:pPr>
      <w:pStyle w:val="a4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導師：張穎彤</w:t>
    </w:r>
  </w:p>
  <w:p w:rsidR="00F263CB" w:rsidRDefault="00F732E9">
    <w:pPr>
      <w:pStyle w:val="a4"/>
      <w:rPr>
        <w:rFonts w:ascii="Times New Roman" w:eastAsia="標楷體" w:hAnsi="Times New Roman" w:cs="Times New Roman"/>
      </w:rPr>
    </w:pPr>
  </w:p>
  <w:p w:rsidR="00F263CB" w:rsidRPr="00FC7C8C" w:rsidRDefault="00F732E9">
    <w:pPr>
      <w:pStyle w:val="a4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903"/>
    <w:multiLevelType w:val="hybridMultilevel"/>
    <w:tmpl w:val="F432A8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476FA"/>
    <w:multiLevelType w:val="hybridMultilevel"/>
    <w:tmpl w:val="5A6C395E"/>
    <w:lvl w:ilvl="0" w:tplc="530450E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96B4E2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E2A4524C">
      <w:start w:val="1"/>
      <w:numFmt w:val="decimal"/>
      <w:lvlText w:val="%3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3" w:tplc="755E020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1">
      <w:start w:val="1"/>
      <w:numFmt w:val="upperLetter"/>
      <w:lvlText w:val="%5."/>
      <w:lvlJc w:val="left"/>
      <w:pPr>
        <w:ind w:left="2280" w:hanging="360"/>
      </w:pPr>
    </w:lvl>
    <w:lvl w:ilvl="5" w:tplc="BBFC4108">
      <w:start w:val="1"/>
      <w:numFmt w:val="lowerRoman"/>
      <w:lvlText w:val="%6."/>
      <w:lvlJc w:val="left"/>
      <w:pPr>
        <w:ind w:left="2760" w:hanging="360"/>
      </w:pPr>
      <w:rPr>
        <w:rFonts w:hint="default"/>
      </w:rPr>
    </w:lvl>
    <w:lvl w:ilvl="6" w:tplc="20EA0C42">
      <w:start w:val="1"/>
      <w:numFmt w:val="decimal"/>
      <w:lvlText w:val="%7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35D1E"/>
    <w:multiLevelType w:val="hybridMultilevel"/>
    <w:tmpl w:val="0B483F30"/>
    <w:lvl w:ilvl="0" w:tplc="68B08A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8C6A5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47FC5"/>
    <w:multiLevelType w:val="hybridMultilevel"/>
    <w:tmpl w:val="11487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2957EB"/>
    <w:multiLevelType w:val="hybridMultilevel"/>
    <w:tmpl w:val="53C4EFEA"/>
    <w:lvl w:ilvl="0" w:tplc="530450E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96B4E2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04090011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E0252"/>
    <w:multiLevelType w:val="hybridMultilevel"/>
    <w:tmpl w:val="887809AC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6" w15:restartNumberingAfterBreak="0">
    <w:nsid w:val="4C505CC1"/>
    <w:multiLevelType w:val="hybridMultilevel"/>
    <w:tmpl w:val="519E68FA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1"/>
    <w:rsid w:val="000A27A6"/>
    <w:rsid w:val="000C4193"/>
    <w:rsid w:val="00536371"/>
    <w:rsid w:val="006B3A2B"/>
    <w:rsid w:val="00726C6C"/>
    <w:rsid w:val="00AA0A12"/>
    <w:rsid w:val="00C3286A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81CF"/>
  <w15:chartTrackingRefBased/>
  <w15:docId w15:val="{F6F96AF6-1E35-4E2C-B7EF-DB7FF22F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3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3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Cheong Weng Tong</dc:creator>
  <cp:keywords/>
  <dc:description/>
  <cp:lastModifiedBy>Cheong Weng Tong</cp:lastModifiedBy>
  <cp:revision>4</cp:revision>
  <dcterms:created xsi:type="dcterms:W3CDTF">2022-08-22T07:55:00Z</dcterms:created>
  <dcterms:modified xsi:type="dcterms:W3CDTF">2022-08-22T10:06:00Z</dcterms:modified>
</cp:coreProperties>
</file>