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371" w:rsidRPr="00F20938" w:rsidRDefault="00536371" w:rsidP="00536371">
      <w:pPr>
        <w:jc w:val="center"/>
        <w:rPr>
          <w:rFonts w:ascii="Times New Roman" w:eastAsia="標楷體" w:hAnsi="Times New Roman" w:cs="Times New Roman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0938">
        <w:rPr>
          <w:rFonts w:ascii="Times New Roman" w:eastAsia="標楷體" w:hAnsi="Times New Roman" w:cs="Times New Roman" w:hint="eastAsi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F20938">
        <w:rPr>
          <w:rFonts w:ascii="Times New Roman" w:eastAsia="標楷體" w:hAnsi="Times New Roman" w:cs="Times New Roman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刑事訴訟法</w:t>
      </w:r>
      <w:r w:rsidRPr="00F20938">
        <w:rPr>
          <w:rFonts w:ascii="Times New Roman" w:eastAsia="標楷體" w:hAnsi="Times New Roman" w:cs="Times New Roman" w:hint="eastAsi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</w:p>
    <w:p w:rsidR="00536371" w:rsidRDefault="00536371" w:rsidP="00536371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F20938">
        <w:rPr>
          <w:rFonts w:ascii="Times New Roman" w:eastAsia="標楷體" w:hAnsi="Times New Roman" w:cs="Times New Roman" w:hint="eastAsia"/>
          <w:sz w:val="32"/>
          <w:szCs w:val="32"/>
        </w:rPr>
        <w:t>【授課內容大綱】</w:t>
      </w:r>
    </w:p>
    <w:p w:rsidR="00536371" w:rsidRPr="00F20938" w:rsidRDefault="00536371" w:rsidP="00536371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536371" w:rsidRPr="00F20938" w:rsidRDefault="00536371" w:rsidP="00536371">
      <w:pPr>
        <w:pStyle w:val="a3"/>
        <w:numPr>
          <w:ilvl w:val="0"/>
          <w:numId w:val="1"/>
        </w:numPr>
        <w:ind w:leftChars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20938">
        <w:rPr>
          <w:rFonts w:ascii="Times New Roman" w:eastAsia="標楷體" w:hAnsi="Times New Roman" w:cs="Times New Roman" w:hint="eastAsia"/>
          <w:b/>
          <w:sz w:val="32"/>
          <w:szCs w:val="32"/>
        </w:rPr>
        <w:t>刑事訴訟法的定位及目的</w:t>
      </w:r>
    </w:p>
    <w:p w:rsidR="00536371" w:rsidRPr="00245C6F" w:rsidRDefault="00536371" w:rsidP="00536371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C6F"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刑事訴訟法的定位</w:t>
      </w:r>
    </w:p>
    <w:p w:rsidR="00536371" w:rsidRPr="00F20938" w:rsidRDefault="00536371" w:rsidP="00536371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/>
          <w:sz w:val="26"/>
          <w:szCs w:val="26"/>
        </w:rPr>
        <w:t>廣義刑法的內容</w:t>
      </w:r>
    </w:p>
    <w:p w:rsidR="00536371" w:rsidRPr="00F20938" w:rsidRDefault="00536371" w:rsidP="00536371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/>
          <w:sz w:val="26"/>
          <w:szCs w:val="26"/>
        </w:rPr>
        <w:t>刑法（狹義）與刑事訴訟法的關係</w:t>
      </w:r>
    </w:p>
    <w:p w:rsidR="00536371" w:rsidRPr="00245C6F" w:rsidRDefault="00536371" w:rsidP="00536371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C6F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刑事訴訟法的目的</w:t>
      </w:r>
    </w:p>
    <w:p w:rsidR="00536371" w:rsidRPr="00F20938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/>
          <w:sz w:val="26"/>
          <w:szCs w:val="26"/>
        </w:rPr>
        <w:t>查明事實真相和</w:t>
      </w:r>
      <w:proofErr w:type="gramStart"/>
      <w:r w:rsidRPr="00F20938">
        <w:rPr>
          <w:rFonts w:ascii="Times New Roman" w:eastAsia="標楷體" w:hAnsi="Times New Roman" w:cs="Times New Roman"/>
          <w:sz w:val="26"/>
          <w:szCs w:val="26"/>
        </w:rPr>
        <w:t>藉此</w:t>
      </w:r>
      <w:proofErr w:type="gramEnd"/>
      <w:r w:rsidRPr="00F20938">
        <w:rPr>
          <w:rFonts w:ascii="Times New Roman" w:eastAsia="標楷體" w:hAnsi="Times New Roman" w:cs="Times New Roman"/>
          <w:sz w:val="26"/>
          <w:szCs w:val="26"/>
        </w:rPr>
        <w:t>實現公正</w:t>
      </w:r>
    </w:p>
    <w:p w:rsidR="00536371" w:rsidRPr="00F20938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/>
          <w:sz w:val="26"/>
          <w:szCs w:val="26"/>
        </w:rPr>
        <w:t>保障基本權利</w:t>
      </w:r>
    </w:p>
    <w:p w:rsidR="00536371" w:rsidRPr="00F20938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/>
          <w:sz w:val="26"/>
          <w:szCs w:val="26"/>
        </w:rPr>
        <w:t>重建法律上的安寜</w:t>
      </w:r>
    </w:p>
    <w:p w:rsidR="00536371" w:rsidRPr="00F20938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/>
          <w:sz w:val="26"/>
          <w:szCs w:val="26"/>
        </w:rPr>
        <w:t>尋求實現訴訟中各利益的和諧共存</w:t>
      </w:r>
    </w:p>
    <w:p w:rsidR="00536371" w:rsidRPr="00F20938" w:rsidRDefault="00536371" w:rsidP="00536371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536371" w:rsidRPr="00F20938" w:rsidRDefault="00536371" w:rsidP="00536371">
      <w:pPr>
        <w:pStyle w:val="a3"/>
        <w:numPr>
          <w:ilvl w:val="0"/>
          <w:numId w:val="1"/>
        </w:numPr>
        <w:ind w:leftChars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20938">
        <w:rPr>
          <w:rFonts w:ascii="Times New Roman" w:eastAsia="標楷體" w:hAnsi="Times New Roman" w:cs="Times New Roman" w:hint="eastAsia"/>
          <w:b/>
          <w:sz w:val="32"/>
          <w:szCs w:val="32"/>
        </w:rPr>
        <w:t>刑事訴訟在不同時空的某些立法原則</w:t>
      </w:r>
    </w:p>
    <w:p w:rsidR="00536371" w:rsidRPr="00245C6F" w:rsidRDefault="00536371" w:rsidP="00536371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C6F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彈劾主義</w:t>
      </w:r>
      <w:proofErr w:type="gramStart"/>
      <w:r w:rsidRPr="00245C6F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與糾問主義</w:t>
      </w:r>
      <w:proofErr w:type="gramEnd"/>
    </w:p>
    <w:p w:rsidR="00536371" w:rsidRPr="00245C6F" w:rsidRDefault="00536371" w:rsidP="00536371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C6F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國家追訴主義、被害人追訴主義及一般追訴主義</w:t>
      </w:r>
    </w:p>
    <w:p w:rsidR="00536371" w:rsidRPr="00245C6F" w:rsidRDefault="00536371" w:rsidP="00536371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C6F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勵行主義與便宜主義</w:t>
      </w:r>
    </w:p>
    <w:p w:rsidR="00536371" w:rsidRPr="00245C6F" w:rsidRDefault="00536371" w:rsidP="00536371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C6F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當事人進行主義與</w:t>
      </w:r>
      <w:r w:rsidR="006B3A2B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職</w:t>
      </w:r>
      <w:bookmarkStart w:id="0" w:name="_GoBack"/>
      <w:bookmarkEnd w:id="0"/>
      <w:r w:rsidRPr="00245C6F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權進行主義</w:t>
      </w:r>
    </w:p>
    <w:p w:rsidR="00536371" w:rsidRPr="00245C6F" w:rsidRDefault="00536371" w:rsidP="00536371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C6F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實質真實發現主義與形式真實發現主義</w:t>
      </w:r>
    </w:p>
    <w:p w:rsidR="00536371" w:rsidRPr="00245C6F" w:rsidRDefault="00536371" w:rsidP="00536371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C6F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直接審理主義與間接審理主義</w:t>
      </w:r>
    </w:p>
    <w:p w:rsidR="00536371" w:rsidRPr="00245C6F" w:rsidRDefault="00536371" w:rsidP="00536371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C6F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言詞審理主義與書面審理主義</w:t>
      </w:r>
    </w:p>
    <w:p w:rsidR="00536371" w:rsidRPr="00245C6F" w:rsidRDefault="00536371" w:rsidP="00536371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C6F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法官審理主義與陪審主義</w:t>
      </w:r>
    </w:p>
    <w:p w:rsidR="00536371" w:rsidRPr="00245C6F" w:rsidRDefault="00536371" w:rsidP="00536371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C6F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自由心證主義與法定證據主義</w:t>
      </w:r>
    </w:p>
    <w:p w:rsidR="00536371" w:rsidRPr="00245C6F" w:rsidRDefault="00536371" w:rsidP="00536371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C6F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審判公開主義與審判秘密主義</w:t>
      </w:r>
    </w:p>
    <w:p w:rsidR="00536371" w:rsidRPr="00F20938" w:rsidRDefault="00536371" w:rsidP="00536371">
      <w:pPr>
        <w:jc w:val="both"/>
        <w:rPr>
          <w:rFonts w:ascii="Times New Roman" w:eastAsia="標楷體" w:hAnsi="Times New Roman" w:cs="Times New Roman"/>
          <w:b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6371" w:rsidRPr="00F20938" w:rsidRDefault="00536371" w:rsidP="00536371">
      <w:pPr>
        <w:pStyle w:val="a3"/>
        <w:numPr>
          <w:ilvl w:val="0"/>
          <w:numId w:val="1"/>
        </w:numPr>
        <w:ind w:leftChars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20938">
        <w:rPr>
          <w:rFonts w:ascii="Times New Roman" w:eastAsia="標楷體" w:hAnsi="Times New Roman" w:cs="Times New Roman" w:hint="eastAsia"/>
          <w:b/>
          <w:sz w:val="32"/>
          <w:szCs w:val="32"/>
        </w:rPr>
        <w:t>刑事訴訟程序的一般原則</w:t>
      </w:r>
    </w:p>
    <w:p w:rsidR="00536371" w:rsidRPr="00F20938" w:rsidRDefault="00536371" w:rsidP="00536371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C6F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關於促進或推進刑事訴訟程序的原則</w:t>
      </w:r>
    </w:p>
    <w:p w:rsidR="00536371" w:rsidRPr="00F20938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職權原則</w:t>
      </w:r>
    </w:p>
    <w:p w:rsidR="00536371" w:rsidRPr="00F20938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合法性原則</w:t>
      </w:r>
    </w:p>
    <w:p w:rsidR="00536371" w:rsidRPr="00F20938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proofErr w:type="gramStart"/>
      <w:r w:rsidRPr="00F20938">
        <w:rPr>
          <w:rFonts w:ascii="Times New Roman" w:eastAsia="標楷體" w:hAnsi="Times New Roman" w:cs="Times New Roman" w:hint="eastAsia"/>
          <w:sz w:val="26"/>
          <w:szCs w:val="26"/>
        </w:rPr>
        <w:t>審檢分立</w:t>
      </w:r>
      <w:proofErr w:type="gramEnd"/>
      <w:r w:rsidRPr="00F20938">
        <w:rPr>
          <w:rFonts w:ascii="Times New Roman" w:eastAsia="標楷體" w:hAnsi="Times New Roman" w:cs="Times New Roman" w:hint="eastAsia"/>
          <w:sz w:val="26"/>
          <w:szCs w:val="26"/>
        </w:rPr>
        <w:t>原則</w:t>
      </w:r>
      <w:r w:rsidRPr="00F20938">
        <w:rPr>
          <w:rFonts w:ascii="Times New Roman" w:eastAsia="標楷體" w:hAnsi="Times New Roman" w:cs="Times New Roman"/>
          <w:sz w:val="26"/>
          <w:szCs w:val="26"/>
        </w:rPr>
        <w:t>（</w:t>
      </w: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或控訴原則</w:t>
      </w:r>
      <w:r w:rsidRPr="00F20938">
        <w:rPr>
          <w:rFonts w:ascii="Times New Roman" w:eastAsia="標楷體" w:hAnsi="Times New Roman" w:cs="Times New Roman"/>
          <w:sz w:val="26"/>
          <w:szCs w:val="26"/>
        </w:rPr>
        <w:t>）</w:t>
      </w:r>
    </w:p>
    <w:p w:rsidR="00536371" w:rsidRPr="00F20938" w:rsidRDefault="00536371" w:rsidP="00536371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C6F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關於進行刑事訴訟程序的原則</w:t>
      </w:r>
    </w:p>
    <w:p w:rsidR="00536371" w:rsidRPr="00F20938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調查</w:t>
      </w: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原則</w:t>
      </w:r>
    </w:p>
    <w:p w:rsidR="00536371" w:rsidRPr="00F20938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辯論原則</w:t>
      </w:r>
    </w:p>
    <w:p w:rsidR="00536371" w:rsidRPr="00F20938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充足原則</w:t>
      </w:r>
    </w:p>
    <w:p w:rsidR="00536371" w:rsidRPr="00F20938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集中原則</w:t>
      </w:r>
      <w:r w:rsidRPr="00F20938">
        <w:rPr>
          <w:rFonts w:ascii="Times New Roman" w:eastAsia="標楷體" w:hAnsi="Times New Roman" w:cs="Times New Roman"/>
          <w:sz w:val="26"/>
          <w:szCs w:val="26"/>
        </w:rPr>
        <w:t>（</w:t>
      </w: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或</w:t>
      </w: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密集原則）</w:t>
      </w:r>
    </w:p>
    <w:p w:rsidR="00536371" w:rsidRPr="00F20938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快捷原則及訴訟經濟原則</w:t>
      </w: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*</w:t>
      </w:r>
    </w:p>
    <w:p w:rsidR="00536371" w:rsidRPr="00245C6F" w:rsidRDefault="00536371" w:rsidP="00536371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C6F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關於證據的原則</w:t>
      </w:r>
    </w:p>
    <w:p w:rsidR="00536371" w:rsidRPr="00F20938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調查</w:t>
      </w: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原則或實質真相原則</w:t>
      </w:r>
    </w:p>
    <w:p w:rsidR="00536371" w:rsidRPr="00F20938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自由心證原則或自由評價證據原則</w:t>
      </w:r>
    </w:p>
    <w:p w:rsidR="00536371" w:rsidRPr="00F20938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罪</w:t>
      </w:r>
      <w:proofErr w:type="gramStart"/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疑</w:t>
      </w:r>
      <w:proofErr w:type="gramEnd"/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從無</w:t>
      </w:r>
      <w:r w:rsidRPr="00F20938">
        <w:rPr>
          <w:rFonts w:ascii="Times New Roman" w:eastAsia="標楷體" w:hAnsi="Times New Roman" w:cs="Times New Roman"/>
          <w:sz w:val="26"/>
          <w:szCs w:val="26"/>
        </w:rPr>
        <w:t>（</w:t>
      </w: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從輕）</w:t>
      </w: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原則</w:t>
      </w: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：存疑無罪原則</w:t>
      </w: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/</w:t>
      </w: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疑點利益歸於被告原則</w:t>
      </w:r>
    </w:p>
    <w:p w:rsidR="00536371" w:rsidRPr="00245C6F" w:rsidRDefault="00536371" w:rsidP="00536371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C6F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關於形式的原則</w:t>
      </w:r>
    </w:p>
    <w:p w:rsidR="00536371" w:rsidRPr="00F20938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公開原則</w:t>
      </w:r>
    </w:p>
    <w:p w:rsidR="00536371" w:rsidRPr="00F20938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口頭</w:t>
      </w:r>
      <w:r w:rsidRPr="00F20938">
        <w:rPr>
          <w:rFonts w:ascii="Times New Roman" w:eastAsia="標楷體" w:hAnsi="Times New Roman" w:cs="Times New Roman"/>
          <w:sz w:val="26"/>
          <w:szCs w:val="26"/>
        </w:rPr>
        <w:t>（</w:t>
      </w: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言詞辯論）</w:t>
      </w: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原則及直接原則</w:t>
      </w:r>
    </w:p>
    <w:p w:rsidR="00536371" w:rsidRPr="00F20938" w:rsidRDefault="00536371" w:rsidP="00536371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536371" w:rsidRPr="00F20938" w:rsidRDefault="00536371" w:rsidP="00536371">
      <w:pPr>
        <w:pStyle w:val="a3"/>
        <w:numPr>
          <w:ilvl w:val="0"/>
          <w:numId w:val="1"/>
        </w:numPr>
        <w:ind w:leftChars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20938">
        <w:rPr>
          <w:rFonts w:ascii="Times New Roman" w:eastAsia="標楷體" w:hAnsi="Times New Roman" w:cs="Times New Roman" w:hint="eastAsia"/>
          <w:b/>
          <w:sz w:val="32"/>
          <w:szCs w:val="32"/>
        </w:rPr>
        <w:t>訴訟主體</w:t>
      </w:r>
    </w:p>
    <w:p w:rsidR="00536371" w:rsidRPr="00245C6F" w:rsidRDefault="00536371" w:rsidP="00536371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245C6F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訴訟主體與訴訟參與人</w:t>
      </w:r>
    </w:p>
    <w:p w:rsidR="00536371" w:rsidRPr="00245C6F" w:rsidRDefault="00536371" w:rsidP="00536371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C6F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法院</w:t>
      </w:r>
    </w:p>
    <w:p w:rsidR="00536371" w:rsidRPr="00F20938" w:rsidRDefault="00536371" w:rsidP="00536371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職能及特徵</w:t>
      </w:r>
    </w:p>
    <w:p w:rsidR="00536371" w:rsidRPr="00F20938" w:rsidRDefault="00536371" w:rsidP="00536371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lastRenderedPageBreak/>
        <w:t>自然法官原則或法定法官原則</w:t>
      </w:r>
    </w:p>
    <w:p w:rsidR="00536371" w:rsidRPr="00F20938" w:rsidRDefault="00536371" w:rsidP="00536371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法官獨立原則</w:t>
      </w:r>
    </w:p>
    <w:p w:rsidR="00536371" w:rsidRPr="00F20938" w:rsidRDefault="00536371" w:rsidP="00536371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在澳門特區具刑事管轄權的法院</w:t>
      </w:r>
    </w:p>
    <w:p w:rsidR="00536371" w:rsidRPr="00F20938" w:rsidRDefault="00536371" w:rsidP="00536371">
      <w:pPr>
        <w:pStyle w:val="a3"/>
        <w:numPr>
          <w:ilvl w:val="3"/>
          <w:numId w:val="5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刑事起訴法庭</w:t>
      </w:r>
    </w:p>
    <w:p w:rsidR="00536371" w:rsidRPr="00F20938" w:rsidRDefault="00536371" w:rsidP="00536371">
      <w:pPr>
        <w:pStyle w:val="a3"/>
        <w:numPr>
          <w:ilvl w:val="3"/>
          <w:numId w:val="5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初級法院刑事法庭</w:t>
      </w:r>
    </w:p>
    <w:p w:rsidR="00536371" w:rsidRPr="00F20938" w:rsidRDefault="00536371" w:rsidP="00536371">
      <w:pPr>
        <w:pStyle w:val="a3"/>
        <w:numPr>
          <w:ilvl w:val="3"/>
          <w:numId w:val="5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中級法院</w:t>
      </w:r>
    </w:p>
    <w:p w:rsidR="00536371" w:rsidRPr="00F20938" w:rsidRDefault="00536371" w:rsidP="00536371">
      <w:pPr>
        <w:pStyle w:val="a3"/>
        <w:numPr>
          <w:ilvl w:val="3"/>
          <w:numId w:val="5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終審法院</w:t>
      </w:r>
    </w:p>
    <w:p w:rsidR="00536371" w:rsidRPr="00F20938" w:rsidRDefault="00536371" w:rsidP="00536371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合議庭管轄權與</w:t>
      </w:r>
      <w:proofErr w:type="gramStart"/>
      <w:r w:rsidRPr="00F20938">
        <w:rPr>
          <w:rFonts w:ascii="Times New Roman" w:eastAsia="標楷體" w:hAnsi="Times New Roman" w:cs="Times New Roman" w:hint="eastAsia"/>
          <w:sz w:val="26"/>
          <w:szCs w:val="26"/>
        </w:rPr>
        <w:t>獨任庭管轄</w:t>
      </w:r>
      <w:proofErr w:type="gramEnd"/>
      <w:r w:rsidRPr="00F20938">
        <w:rPr>
          <w:rFonts w:ascii="Times New Roman" w:eastAsia="標楷體" w:hAnsi="Times New Roman" w:cs="Times New Roman" w:hint="eastAsia"/>
          <w:sz w:val="26"/>
          <w:szCs w:val="26"/>
        </w:rPr>
        <w:t>權</w:t>
      </w:r>
    </w:p>
    <w:p w:rsidR="00536371" w:rsidRPr="00F20938" w:rsidRDefault="00536371" w:rsidP="00536371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牽連管轄權</w:t>
      </w:r>
    </w:p>
    <w:p w:rsidR="00536371" w:rsidRPr="00F20938" w:rsidRDefault="00536371" w:rsidP="00536371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無管轄權的宣告</w:t>
      </w:r>
    </w:p>
    <w:p w:rsidR="00536371" w:rsidRPr="00F20938" w:rsidRDefault="00536371" w:rsidP="00536371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管轄權的衝突</w:t>
      </w:r>
    </w:p>
    <w:p w:rsidR="00536371" w:rsidRPr="00F20938" w:rsidRDefault="00536371" w:rsidP="00536371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迴避、推卻及自行迴避</w:t>
      </w:r>
    </w:p>
    <w:p w:rsidR="00536371" w:rsidRPr="00245C6F" w:rsidRDefault="00536371" w:rsidP="00536371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C6F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檢察院</w:t>
      </w:r>
    </w:p>
    <w:p w:rsidR="00536371" w:rsidRPr="00F20938" w:rsidRDefault="00536371" w:rsidP="00536371">
      <w:pPr>
        <w:pStyle w:val="a3"/>
        <w:numPr>
          <w:ilvl w:val="2"/>
          <w:numId w:val="1"/>
        </w:numPr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在刑事訴訟程序中的職能及特徵</w:t>
      </w:r>
    </w:p>
    <w:p w:rsidR="00536371" w:rsidRPr="00F20938" w:rsidRDefault="00536371" w:rsidP="00536371">
      <w:pPr>
        <w:pStyle w:val="a3"/>
        <w:numPr>
          <w:ilvl w:val="2"/>
          <w:numId w:val="1"/>
        </w:numPr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檢察院的獨立性</w:t>
      </w:r>
    </w:p>
    <w:p w:rsidR="00536371" w:rsidRPr="00F20938" w:rsidRDefault="00536371" w:rsidP="00536371">
      <w:pPr>
        <w:pStyle w:val="a3"/>
        <w:numPr>
          <w:ilvl w:val="2"/>
          <w:numId w:val="1"/>
        </w:numPr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檢察院的正當性與公罪、</w:t>
      </w:r>
      <w:proofErr w:type="gramStart"/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準</w:t>
      </w:r>
      <w:proofErr w:type="gramEnd"/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公罪和</w:t>
      </w:r>
      <w:proofErr w:type="gramStart"/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私罪</w:t>
      </w:r>
      <w:proofErr w:type="gramEnd"/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的制度</w:t>
      </w:r>
    </w:p>
    <w:p w:rsidR="00536371" w:rsidRPr="00F20938" w:rsidRDefault="00536371" w:rsidP="00536371">
      <w:pPr>
        <w:pStyle w:val="a3"/>
        <w:numPr>
          <w:ilvl w:val="2"/>
          <w:numId w:val="1"/>
        </w:numPr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檢察院與刑事警察機關的關係</w:t>
      </w:r>
    </w:p>
    <w:p w:rsidR="00536371" w:rsidRPr="00F20938" w:rsidRDefault="00536371" w:rsidP="00536371">
      <w:pPr>
        <w:pStyle w:val="a3"/>
        <w:numPr>
          <w:ilvl w:val="2"/>
          <w:numId w:val="1"/>
        </w:numPr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迴避、推卻及自行迴避</w:t>
      </w:r>
    </w:p>
    <w:p w:rsidR="00536371" w:rsidRPr="00245C6F" w:rsidRDefault="00536371" w:rsidP="00536371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C6F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嫌犯</w:t>
      </w:r>
    </w:p>
    <w:p w:rsidR="00536371" w:rsidRPr="00F20938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嫌犯的概念</w:t>
      </w:r>
    </w:p>
    <w:p w:rsidR="00536371" w:rsidRPr="00F20938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在刑事訴訟程序中的法律地位：訴訟上的權利與義務</w:t>
      </w:r>
    </w:p>
    <w:p w:rsidR="00536371" w:rsidRPr="00F20938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嫌犯的聲明及訊問</w:t>
      </w:r>
    </w:p>
    <w:p w:rsidR="00536371" w:rsidRPr="00F20938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無罪推定原則</w:t>
      </w:r>
    </w:p>
    <w:p w:rsidR="00536371" w:rsidRPr="00245C6F" w:rsidRDefault="00536371" w:rsidP="00536371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C6F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辯護人</w:t>
      </w:r>
    </w:p>
    <w:p w:rsidR="00536371" w:rsidRPr="00F20938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在刑事訴訟程序中的職能及法律地位</w:t>
      </w:r>
    </w:p>
    <w:p w:rsidR="00536371" w:rsidRPr="00F20938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辯護人援助的強制性</w:t>
      </w:r>
    </w:p>
    <w:p w:rsidR="00536371" w:rsidRPr="00F20938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自由選擇辯護人原則</w:t>
      </w:r>
      <w:r w:rsidRPr="00F20938">
        <w:rPr>
          <w:rFonts w:ascii="Times New Roman" w:eastAsia="標楷體" w:hAnsi="Times New Roman" w:cs="Times New Roman"/>
          <w:sz w:val="26"/>
          <w:szCs w:val="26"/>
        </w:rPr>
        <w:t>（</w:t>
      </w: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委託優於指定辯護人原則）</w:t>
      </w:r>
    </w:p>
    <w:p w:rsidR="00536371" w:rsidRPr="00F20938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辯護人的替換</w:t>
      </w:r>
    </w:p>
    <w:p w:rsidR="00536371" w:rsidRPr="00245C6F" w:rsidRDefault="00536371" w:rsidP="00536371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C6F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輔助人</w:t>
      </w:r>
    </w:p>
    <w:p w:rsidR="00536371" w:rsidRPr="00F20938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刑事訴訟程序中的被害人與輔助人的概念</w:t>
      </w:r>
    </w:p>
    <w:p w:rsidR="00536371" w:rsidRPr="00F20938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成為輔助人須符合的條件</w:t>
      </w:r>
    </w:p>
    <w:p w:rsidR="00536371" w:rsidRPr="00F20938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輔助人在刑事訴訟程序中的法律地位</w:t>
      </w:r>
    </w:p>
    <w:p w:rsidR="00536371" w:rsidRPr="00245C6F" w:rsidRDefault="00536371" w:rsidP="00536371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C6F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民事當事人</w:t>
      </w:r>
    </w:p>
    <w:p w:rsidR="00536371" w:rsidRPr="00F20938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受害人與民事當事人的概念</w:t>
      </w:r>
    </w:p>
    <w:p w:rsidR="00536371" w:rsidRPr="00F20938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依附原則</w:t>
      </w:r>
      <w:r w:rsidRPr="00F20938">
        <w:rPr>
          <w:rFonts w:ascii="Times New Roman" w:eastAsia="標楷體" w:hAnsi="Times New Roman" w:cs="Times New Roman"/>
          <w:sz w:val="26"/>
          <w:szCs w:val="26"/>
        </w:rPr>
        <w:t>（</w:t>
      </w: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刑事附帶民事損害賠償請求）</w:t>
      </w: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及例外</w:t>
      </w:r>
    </w:p>
    <w:p w:rsidR="00536371" w:rsidRPr="00F20938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民事當事人在訴訟程序中的法律地位</w:t>
      </w:r>
    </w:p>
    <w:p w:rsidR="00536371" w:rsidRPr="00F20938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刑事附帶民事訴訟程序的步驟</w:t>
      </w:r>
    </w:p>
    <w:p w:rsidR="00536371" w:rsidRPr="00F20938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依職權裁定的民事損害賠償</w:t>
      </w:r>
    </w:p>
    <w:p w:rsidR="00536371" w:rsidRPr="00F20938" w:rsidRDefault="00536371" w:rsidP="00536371">
      <w:pPr>
        <w:jc w:val="both"/>
        <w:rPr>
          <w:rFonts w:ascii="Times New Roman" w:eastAsia="標楷體" w:hAnsi="Times New Roman" w:cs="Times New Roman"/>
          <w:b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6371" w:rsidRPr="00F20938" w:rsidRDefault="00536371" w:rsidP="00536371">
      <w:pPr>
        <w:pStyle w:val="a3"/>
        <w:numPr>
          <w:ilvl w:val="0"/>
          <w:numId w:val="1"/>
        </w:numPr>
        <w:ind w:leftChars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20938">
        <w:rPr>
          <w:rFonts w:ascii="Times New Roman" w:eastAsia="標楷體" w:hAnsi="Times New Roman" w:cs="Times New Roman" w:hint="eastAsia"/>
          <w:b/>
          <w:sz w:val="32"/>
          <w:szCs w:val="32"/>
          <w:lang w:val="pt-PT"/>
        </w:rPr>
        <w:t>證據</w:t>
      </w:r>
    </w:p>
    <w:p w:rsidR="00536371" w:rsidRPr="00F20938" w:rsidRDefault="00536371" w:rsidP="00536371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0938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證據的意義及概念</w:t>
      </w:r>
    </w:p>
    <w:p w:rsidR="00536371" w:rsidRPr="00F20938" w:rsidRDefault="00536371" w:rsidP="00536371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0938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證據的種類</w:t>
      </w:r>
    </w:p>
    <w:p w:rsidR="00536371" w:rsidRPr="00F20938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證據自由原則</w:t>
      </w:r>
    </w:p>
    <w:p w:rsidR="00536371" w:rsidRPr="00F20938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證據方法</w:t>
      </w:r>
    </w:p>
    <w:p w:rsidR="00536371" w:rsidRPr="00F20938" w:rsidRDefault="00536371" w:rsidP="00536371">
      <w:pPr>
        <w:pStyle w:val="a3"/>
        <w:numPr>
          <w:ilvl w:val="4"/>
          <w:numId w:val="1"/>
        </w:numPr>
        <w:ind w:leftChars="0" w:left="851" w:hanging="348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人證</w:t>
      </w:r>
    </w:p>
    <w:p w:rsidR="00536371" w:rsidRPr="00F20938" w:rsidRDefault="00536371" w:rsidP="00536371">
      <w:pPr>
        <w:pStyle w:val="a3"/>
        <w:numPr>
          <w:ilvl w:val="4"/>
          <w:numId w:val="1"/>
        </w:numPr>
        <w:ind w:leftChars="0" w:left="851" w:hanging="348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嫌犯、輔助人及民事當事人之聲明</w:t>
      </w:r>
    </w:p>
    <w:p w:rsidR="00536371" w:rsidRPr="00F20938" w:rsidRDefault="00536371" w:rsidP="00536371">
      <w:pPr>
        <w:pStyle w:val="a3"/>
        <w:numPr>
          <w:ilvl w:val="4"/>
          <w:numId w:val="1"/>
        </w:numPr>
        <w:ind w:leftChars="0" w:left="851" w:hanging="348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透過對質之證據</w:t>
      </w:r>
    </w:p>
    <w:p w:rsidR="00536371" w:rsidRPr="00F20938" w:rsidRDefault="00536371" w:rsidP="00536371">
      <w:pPr>
        <w:pStyle w:val="a3"/>
        <w:numPr>
          <w:ilvl w:val="4"/>
          <w:numId w:val="1"/>
        </w:numPr>
        <w:ind w:leftChars="0" w:left="851" w:hanging="348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透過辨認之證據</w:t>
      </w:r>
    </w:p>
    <w:p w:rsidR="00536371" w:rsidRPr="00F20938" w:rsidRDefault="00536371" w:rsidP="00536371">
      <w:pPr>
        <w:pStyle w:val="a3"/>
        <w:numPr>
          <w:ilvl w:val="4"/>
          <w:numId w:val="1"/>
        </w:numPr>
        <w:ind w:leftChars="0" w:left="851" w:hanging="348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事實之重演</w:t>
      </w:r>
    </w:p>
    <w:p w:rsidR="00536371" w:rsidRPr="00F20938" w:rsidRDefault="00536371" w:rsidP="00536371">
      <w:pPr>
        <w:pStyle w:val="a3"/>
        <w:numPr>
          <w:ilvl w:val="4"/>
          <w:numId w:val="1"/>
        </w:numPr>
        <w:ind w:leftChars="0" w:left="851" w:hanging="348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鑑定證據</w:t>
      </w:r>
    </w:p>
    <w:p w:rsidR="00536371" w:rsidRPr="00F20938" w:rsidRDefault="00536371" w:rsidP="00536371">
      <w:pPr>
        <w:pStyle w:val="a3"/>
        <w:numPr>
          <w:ilvl w:val="4"/>
          <w:numId w:val="1"/>
        </w:numPr>
        <w:ind w:leftChars="0" w:left="851" w:hanging="348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書證</w:t>
      </w:r>
    </w:p>
    <w:p w:rsidR="00536371" w:rsidRPr="00F20938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獲得證據的方法</w:t>
      </w:r>
    </w:p>
    <w:p w:rsidR="00536371" w:rsidRPr="00F20938" w:rsidRDefault="00536371" w:rsidP="00536371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檢查</w:t>
      </w:r>
    </w:p>
    <w:p w:rsidR="00536371" w:rsidRPr="00F20938" w:rsidRDefault="00536371" w:rsidP="00536371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搜查及搜索</w:t>
      </w:r>
    </w:p>
    <w:p w:rsidR="00536371" w:rsidRPr="00F20938" w:rsidRDefault="00536371" w:rsidP="00536371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扣押</w:t>
      </w:r>
    </w:p>
    <w:p w:rsidR="00536371" w:rsidRPr="00F20938" w:rsidRDefault="00536371" w:rsidP="00536371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電話監聽</w:t>
      </w:r>
    </w:p>
    <w:p w:rsidR="00536371" w:rsidRPr="00F20938" w:rsidRDefault="00536371" w:rsidP="00536371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0938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證據的證明力</w:t>
      </w:r>
    </w:p>
    <w:p w:rsidR="00536371" w:rsidRPr="00F20938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證據在偵查階段中的作用</w:t>
      </w:r>
    </w:p>
    <w:p w:rsidR="00536371" w:rsidRPr="00F20938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證據在採用強制措施時的作用</w:t>
      </w:r>
    </w:p>
    <w:p w:rsidR="00536371" w:rsidRPr="00F20938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證據在審判階段中的作用</w:t>
      </w:r>
    </w:p>
    <w:p w:rsidR="00536371" w:rsidRPr="00F20938" w:rsidRDefault="00536371" w:rsidP="00536371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0938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禁用證據制度</w:t>
      </w:r>
    </w:p>
    <w:p w:rsidR="00536371" w:rsidRPr="00F20938" w:rsidRDefault="00536371" w:rsidP="00536371">
      <w:pPr>
        <w:pStyle w:val="a3"/>
        <w:ind w:leftChars="0" w:left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6371" w:rsidRPr="00F20938" w:rsidRDefault="00536371" w:rsidP="00536371">
      <w:pPr>
        <w:pStyle w:val="a3"/>
        <w:numPr>
          <w:ilvl w:val="0"/>
          <w:numId w:val="1"/>
        </w:numPr>
        <w:ind w:leftChars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20938">
        <w:rPr>
          <w:rFonts w:ascii="Times New Roman" w:eastAsia="標楷體" w:hAnsi="Times New Roman" w:cs="Times New Roman" w:hint="eastAsia"/>
          <w:b/>
          <w:sz w:val="32"/>
          <w:szCs w:val="32"/>
          <w:lang w:val="pt-PT"/>
        </w:rPr>
        <w:lastRenderedPageBreak/>
        <w:t>訴訟行為的無效情事及不當情事</w:t>
      </w:r>
    </w:p>
    <w:p w:rsidR="00536371" w:rsidRPr="00F20938" w:rsidRDefault="00536371" w:rsidP="00536371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0938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訴訟行為的不法情事</w:t>
      </w:r>
    </w:p>
    <w:p w:rsidR="00536371" w:rsidRPr="00F20938" w:rsidRDefault="00536371" w:rsidP="00536371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0938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無效情事的法定原則</w:t>
      </w:r>
    </w:p>
    <w:p w:rsidR="00536371" w:rsidRPr="00F20938" w:rsidRDefault="00536371" w:rsidP="00536371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0938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無效情事</w:t>
      </w:r>
    </w:p>
    <w:p w:rsidR="00536371" w:rsidRPr="00F20938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不可補正的無效情事</w:t>
      </w:r>
    </w:p>
    <w:p w:rsidR="00536371" w:rsidRPr="00F20938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取決於爭辯的無效情事</w:t>
      </w:r>
    </w:p>
    <w:p w:rsidR="00536371" w:rsidRPr="00F20938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取決於爭辯的無效情事的爭辯期間</w:t>
      </w:r>
    </w:p>
    <w:p w:rsidR="00536371" w:rsidRPr="00F20938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宣告無效的效力</w:t>
      </w:r>
    </w:p>
    <w:p w:rsidR="00536371" w:rsidRPr="00F20938" w:rsidRDefault="00536371" w:rsidP="00536371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0938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不當情事</w:t>
      </w:r>
    </w:p>
    <w:p w:rsidR="00536371" w:rsidRPr="00F20938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不當情事的爭辯期間</w:t>
      </w:r>
    </w:p>
    <w:p w:rsidR="00536371" w:rsidRPr="00F20938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宣告不當情事的效力</w:t>
      </w:r>
    </w:p>
    <w:p w:rsidR="00536371" w:rsidRPr="00F20938" w:rsidRDefault="00536371" w:rsidP="00536371">
      <w:pPr>
        <w:pStyle w:val="a3"/>
        <w:ind w:leftChars="0" w:left="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536371" w:rsidRPr="00F20938" w:rsidRDefault="00536371" w:rsidP="00536371">
      <w:pPr>
        <w:pStyle w:val="a3"/>
        <w:numPr>
          <w:ilvl w:val="0"/>
          <w:numId w:val="1"/>
        </w:numPr>
        <w:ind w:leftChars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20938">
        <w:rPr>
          <w:rFonts w:ascii="Times New Roman" w:eastAsia="標楷體" w:hAnsi="Times New Roman" w:cs="Times New Roman" w:hint="eastAsia"/>
          <w:b/>
          <w:sz w:val="32"/>
          <w:szCs w:val="32"/>
          <w:lang w:val="pt-PT"/>
        </w:rPr>
        <w:t>強制措施</w:t>
      </w:r>
    </w:p>
    <w:p w:rsidR="00536371" w:rsidRDefault="00536371" w:rsidP="00536371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0938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強制措施與財產擔保措施的分別</w:t>
      </w:r>
    </w:p>
    <w:p w:rsidR="00536371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C722F">
        <w:rPr>
          <w:rFonts w:ascii="Times New Roman" w:eastAsia="標楷體" w:hAnsi="Times New Roman" w:cs="Times New Roman" w:hint="eastAsia"/>
          <w:sz w:val="26"/>
          <w:szCs w:val="26"/>
        </w:rPr>
        <w:t>經濟擔保</w:t>
      </w:r>
    </w:p>
    <w:p w:rsidR="00536371" w:rsidRPr="005C722F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proofErr w:type="gramStart"/>
      <w:r w:rsidRPr="005C722F">
        <w:rPr>
          <w:rFonts w:ascii="Times New Roman" w:eastAsia="標楷體" w:hAnsi="Times New Roman" w:cs="Times New Roman" w:hint="eastAsia"/>
          <w:sz w:val="26"/>
          <w:szCs w:val="26"/>
        </w:rPr>
        <w:t>預防性假扣押</w:t>
      </w:r>
      <w:proofErr w:type="gramEnd"/>
    </w:p>
    <w:p w:rsidR="00536371" w:rsidRPr="00F20938" w:rsidRDefault="00536371" w:rsidP="00536371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0938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強制措施與無罪推定原則相抵觸的問題</w:t>
      </w:r>
    </w:p>
    <w:p w:rsidR="00536371" w:rsidRPr="00F20938" w:rsidRDefault="00536371" w:rsidP="00536371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0938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強制措施的法定原則</w:t>
      </w:r>
    </w:p>
    <w:p w:rsidR="00536371" w:rsidRPr="00F20938" w:rsidRDefault="00536371" w:rsidP="00536371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0938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強制措施的適當及適度原則</w:t>
      </w:r>
    </w:p>
    <w:p w:rsidR="00536371" w:rsidRPr="00F20938" w:rsidRDefault="00536371" w:rsidP="00536371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0938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採用強制措施的一般要件</w:t>
      </w:r>
    </w:p>
    <w:p w:rsidR="00536371" w:rsidRDefault="00536371" w:rsidP="00536371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0938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強制措施的種類</w:t>
      </w:r>
    </w:p>
    <w:p w:rsidR="00536371" w:rsidRPr="00D44E44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D44E44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身份資料及居所書錄</w:t>
      </w:r>
    </w:p>
    <w:p w:rsidR="00536371" w:rsidRPr="00F20938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擔保</w:t>
      </w:r>
    </w:p>
    <w:p w:rsidR="00536371" w:rsidRPr="00F20938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定期報到</w:t>
      </w:r>
    </w:p>
    <w:p w:rsidR="00536371" w:rsidRPr="00F20938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lastRenderedPageBreak/>
        <w:t>禁止離境、接觸或進入地方</w:t>
      </w:r>
    </w:p>
    <w:p w:rsidR="00536371" w:rsidRPr="00F20938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中止執行職務、從事職業或行使權利</w:t>
      </w:r>
    </w:p>
    <w:p w:rsidR="00536371" w:rsidRPr="00D44E44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羈押</w:t>
      </w:r>
    </w:p>
    <w:p w:rsidR="00536371" w:rsidRDefault="00536371" w:rsidP="00536371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強制措施</w:t>
      </w:r>
      <w:r w:rsidRPr="00D44E44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的廢止、變更及消滅</w:t>
      </w:r>
    </w:p>
    <w:p w:rsidR="00536371" w:rsidRDefault="00536371" w:rsidP="00536371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4E44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強制措施的最長存續期間</w:t>
      </w:r>
    </w:p>
    <w:p w:rsidR="00536371" w:rsidRPr="00D44E44" w:rsidRDefault="00536371" w:rsidP="00536371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強制措施的申訴方式</w:t>
      </w:r>
    </w:p>
    <w:p w:rsidR="00536371" w:rsidRPr="00F20938" w:rsidRDefault="00536371" w:rsidP="00536371">
      <w:pPr>
        <w:pStyle w:val="a3"/>
        <w:ind w:leftChars="0" w:left="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536371" w:rsidRPr="00F20938" w:rsidRDefault="00536371" w:rsidP="00536371">
      <w:pPr>
        <w:pStyle w:val="a3"/>
        <w:numPr>
          <w:ilvl w:val="0"/>
          <w:numId w:val="1"/>
        </w:numPr>
        <w:ind w:leftChars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20938">
        <w:rPr>
          <w:rFonts w:ascii="Times New Roman" w:eastAsia="標楷體" w:hAnsi="Times New Roman" w:cs="Times New Roman" w:hint="eastAsia"/>
          <w:b/>
          <w:sz w:val="32"/>
          <w:szCs w:val="32"/>
          <w:lang w:val="pt-PT"/>
        </w:rPr>
        <w:t>訴訟程序的形式</w:t>
      </w:r>
    </w:p>
    <w:p w:rsidR="00536371" w:rsidRPr="00F20938" w:rsidRDefault="00536371" w:rsidP="00536371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0938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特別訴訟程序</w:t>
      </w:r>
    </w:p>
    <w:p w:rsidR="00536371" w:rsidRPr="00F20938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簡易訴訟程序</w:t>
      </w:r>
    </w:p>
    <w:p w:rsidR="00536371" w:rsidRPr="00F20938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簡捷訴訟程序</w:t>
      </w:r>
    </w:p>
    <w:p w:rsidR="00536371" w:rsidRPr="00F20938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最簡易訴訟程序</w:t>
      </w:r>
    </w:p>
    <w:p w:rsidR="00536371" w:rsidRPr="00F20938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 w:hint="eastAsia"/>
          <w:sz w:val="26"/>
          <w:szCs w:val="26"/>
        </w:rPr>
        <w:t>輕微違反訴訟程序</w:t>
      </w:r>
    </w:p>
    <w:p w:rsidR="00536371" w:rsidRPr="00F20938" w:rsidRDefault="00536371" w:rsidP="00536371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0938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普通訴訟程序</w:t>
      </w:r>
    </w:p>
    <w:p w:rsidR="00536371" w:rsidRPr="00F20938" w:rsidRDefault="00536371" w:rsidP="00536371">
      <w:pPr>
        <w:rPr>
          <w:rFonts w:ascii="Times New Roman" w:eastAsia="標楷體" w:hAnsi="Times New Roman" w:cs="Times New Roman"/>
          <w:b/>
          <w:sz w:val="26"/>
          <w:szCs w:val="26"/>
        </w:rPr>
      </w:pPr>
    </w:p>
    <w:p w:rsidR="00536371" w:rsidRPr="00F20938" w:rsidRDefault="00536371" w:rsidP="00536371">
      <w:pPr>
        <w:pStyle w:val="a3"/>
        <w:numPr>
          <w:ilvl w:val="0"/>
          <w:numId w:val="1"/>
        </w:numPr>
        <w:ind w:leftChars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20938">
        <w:rPr>
          <w:rFonts w:ascii="Times New Roman" w:eastAsia="標楷體" w:hAnsi="Times New Roman" w:cs="Times New Roman" w:hint="eastAsia"/>
          <w:b/>
          <w:sz w:val="32"/>
          <w:szCs w:val="32"/>
        </w:rPr>
        <w:t>刑事普通訴訟程序的訴訟階段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〈第一審〉</w:t>
      </w:r>
    </w:p>
    <w:p w:rsidR="00536371" w:rsidRPr="00F20938" w:rsidRDefault="00536371" w:rsidP="00536371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初步</w:t>
      </w:r>
      <w:r w:rsidRPr="00F20938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階段</w:t>
      </w:r>
      <w:r w:rsidRPr="00947C04"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</w:t>
      </w:r>
      <w:r w:rsidRPr="00F20938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偵查</w:t>
      </w:r>
      <w:r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立案前）</w:t>
      </w:r>
    </w:p>
    <w:p w:rsidR="00536371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犯罪消息</w:t>
      </w:r>
    </w:p>
    <w:p w:rsidR="00536371" w:rsidRDefault="00536371" w:rsidP="00536371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義務檢舉</w:t>
      </w:r>
    </w:p>
    <w:p w:rsidR="00536371" w:rsidRDefault="00536371" w:rsidP="00536371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任意檢舉</w:t>
      </w:r>
    </w:p>
    <w:p w:rsidR="00536371" w:rsidRDefault="00536371" w:rsidP="00536371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提出告訴或自訴</w:t>
      </w:r>
    </w:p>
    <w:p w:rsidR="00536371" w:rsidRDefault="00536371" w:rsidP="00536371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實況筆錄</w:t>
      </w:r>
    </w:p>
    <w:p w:rsidR="00536371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保全措施及警察措施</w:t>
      </w:r>
    </w:p>
    <w:p w:rsidR="00536371" w:rsidRDefault="00536371" w:rsidP="00536371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proofErr w:type="gramStart"/>
      <w:r>
        <w:rPr>
          <w:rFonts w:ascii="Times New Roman" w:eastAsia="標楷體" w:hAnsi="Times New Roman" w:cs="Times New Roman" w:hint="eastAsia"/>
          <w:sz w:val="26"/>
          <w:szCs w:val="26"/>
        </w:rPr>
        <w:t>認別涉嫌</w:t>
      </w:r>
      <w:proofErr w:type="gramEnd"/>
      <w:r>
        <w:rPr>
          <w:rFonts w:ascii="Times New Roman" w:eastAsia="標楷體" w:hAnsi="Times New Roman" w:cs="Times New Roman" w:hint="eastAsia"/>
          <w:sz w:val="26"/>
          <w:szCs w:val="26"/>
        </w:rPr>
        <w:t>人身分及索求資料</w:t>
      </w:r>
    </w:p>
    <w:p w:rsidR="00536371" w:rsidRDefault="00536371" w:rsidP="00536371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關於證據的保全措施</w:t>
      </w:r>
    </w:p>
    <w:p w:rsidR="00536371" w:rsidRPr="00947C04" w:rsidRDefault="00536371" w:rsidP="00536371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警方報告</w:t>
      </w:r>
    </w:p>
    <w:p w:rsidR="00536371" w:rsidRDefault="00536371" w:rsidP="00536371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偵查階段</w:t>
      </w:r>
    </w:p>
    <w:p w:rsidR="00536371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20938">
        <w:rPr>
          <w:rFonts w:ascii="Times New Roman" w:eastAsia="標楷體" w:hAnsi="Times New Roman" w:cs="Times New Roman"/>
          <w:sz w:val="26"/>
          <w:szCs w:val="26"/>
        </w:rPr>
        <w:lastRenderedPageBreak/>
        <w:t>（</w:t>
      </w:r>
      <w:r>
        <w:rPr>
          <w:rFonts w:ascii="Times New Roman" w:eastAsia="標楷體" w:hAnsi="Times New Roman" w:cs="Times New Roman" w:hint="eastAsia"/>
          <w:sz w:val="26"/>
          <w:szCs w:val="26"/>
        </w:rPr>
        <w:t>開立及登記成為偵查案件後的）刑事偵查</w:t>
      </w:r>
    </w:p>
    <w:p w:rsidR="00536371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947C04">
        <w:rPr>
          <w:rFonts w:ascii="Times New Roman" w:eastAsia="標楷體" w:hAnsi="Times New Roman" w:cs="Times New Roman" w:hint="eastAsia"/>
          <w:sz w:val="26"/>
          <w:szCs w:val="26"/>
        </w:rPr>
        <w:t>拘留：現行犯與非現行犯</w:t>
      </w:r>
    </w:p>
    <w:p w:rsidR="00536371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成為嫌犯</w:t>
      </w:r>
    </w:p>
    <w:p w:rsidR="00536371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證據方法</w:t>
      </w:r>
    </w:p>
    <w:p w:rsidR="00536371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獲得證據的方法</w:t>
      </w:r>
    </w:p>
    <w:p w:rsidR="00536371" w:rsidRPr="00735609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強制措施</w:t>
      </w:r>
    </w:p>
    <w:p w:rsidR="00536371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財產擔保措施</w:t>
      </w:r>
    </w:p>
    <w:p w:rsidR="00536371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刑事起訴法庭法官在偵查階段的介入</w:t>
      </w:r>
      <w:r w:rsidRPr="00F20938">
        <w:rPr>
          <w:rFonts w:ascii="Times New Roman" w:eastAsia="標楷體" w:hAnsi="Times New Roman" w:cs="Times New Roman"/>
          <w:sz w:val="26"/>
          <w:szCs w:val="26"/>
        </w:rPr>
        <w:t>（</w:t>
      </w:r>
      <w:r>
        <w:rPr>
          <w:rFonts w:ascii="Times New Roman" w:eastAsia="標楷體" w:hAnsi="Times New Roman" w:cs="Times New Roman" w:hint="eastAsia"/>
          <w:sz w:val="26"/>
          <w:szCs w:val="26"/>
        </w:rPr>
        <w:t>非主動介入）</w:t>
      </w:r>
    </w:p>
    <w:p w:rsidR="00536371" w:rsidRDefault="00536371" w:rsidP="00536371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由刑事起訴法庭法官作出的行為</w:t>
      </w:r>
    </w:p>
    <w:p w:rsidR="00536371" w:rsidRDefault="00536371" w:rsidP="00536371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由刑事起訴法庭法官命令或許可的行為</w:t>
      </w:r>
    </w:p>
    <w:p w:rsidR="00536371" w:rsidRDefault="00536371" w:rsidP="00536371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供未來</w:t>
      </w:r>
      <w:proofErr w:type="gramStart"/>
      <w:r>
        <w:rPr>
          <w:rFonts w:ascii="Times New Roman" w:eastAsia="標楷體" w:hAnsi="Times New Roman" w:cs="Times New Roman" w:hint="eastAsia"/>
          <w:sz w:val="26"/>
          <w:szCs w:val="26"/>
        </w:rPr>
        <w:t>備忘用的</w:t>
      </w:r>
      <w:proofErr w:type="gramEnd"/>
      <w:r>
        <w:rPr>
          <w:rFonts w:ascii="Times New Roman" w:eastAsia="標楷體" w:hAnsi="Times New Roman" w:cs="Times New Roman" w:hint="eastAsia"/>
          <w:sz w:val="26"/>
          <w:szCs w:val="26"/>
        </w:rPr>
        <w:t>聲明</w:t>
      </w:r>
    </w:p>
    <w:p w:rsidR="00536371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偵查的終結</w:t>
      </w:r>
    </w:p>
    <w:p w:rsidR="00536371" w:rsidRDefault="00536371" w:rsidP="00536371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偵查的最長存續期</w:t>
      </w:r>
    </w:p>
    <w:p w:rsidR="00536371" w:rsidRDefault="00536371" w:rsidP="00536371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檢察院作出歸檔批示</w:t>
      </w:r>
    </w:p>
    <w:p w:rsidR="00536371" w:rsidRDefault="00536371" w:rsidP="00536371">
      <w:pPr>
        <w:pStyle w:val="a3"/>
        <w:numPr>
          <w:ilvl w:val="5"/>
          <w:numId w:val="1"/>
        </w:numPr>
        <w:ind w:leftChars="0" w:left="1276"/>
        <w:jc w:val="both"/>
        <w:rPr>
          <w:rFonts w:ascii="Times New Roman" w:eastAsia="標楷體" w:hAnsi="Times New Roman" w:cs="Times New Roman"/>
          <w:sz w:val="26"/>
          <w:szCs w:val="26"/>
        </w:rPr>
      </w:pPr>
      <w:proofErr w:type="gramStart"/>
      <w:r>
        <w:rPr>
          <w:rFonts w:ascii="Times New Roman" w:eastAsia="標楷體" w:hAnsi="Times New Roman" w:cs="Times New Roman" w:hint="eastAsia"/>
          <w:sz w:val="26"/>
          <w:szCs w:val="26"/>
        </w:rPr>
        <w:t>向持案檢察院</w:t>
      </w:r>
      <w:proofErr w:type="gramEnd"/>
      <w:r>
        <w:rPr>
          <w:rFonts w:ascii="Times New Roman" w:eastAsia="標楷體" w:hAnsi="Times New Roman" w:cs="Times New Roman" w:hint="eastAsia"/>
          <w:sz w:val="26"/>
          <w:szCs w:val="26"/>
        </w:rPr>
        <w:t>司法官的直屬上級提出異議</w:t>
      </w:r>
    </w:p>
    <w:p w:rsidR="00536371" w:rsidRDefault="00536371" w:rsidP="00536371">
      <w:pPr>
        <w:pStyle w:val="a3"/>
        <w:numPr>
          <w:ilvl w:val="5"/>
          <w:numId w:val="1"/>
        </w:numPr>
        <w:ind w:leftChars="0" w:left="1276"/>
        <w:jc w:val="both"/>
        <w:rPr>
          <w:rFonts w:ascii="Times New Roman" w:eastAsia="標楷體" w:hAnsi="Times New Roman" w:cs="Times New Roman"/>
          <w:sz w:val="26"/>
          <w:szCs w:val="26"/>
        </w:rPr>
      </w:pPr>
      <w:proofErr w:type="gramStart"/>
      <w:r>
        <w:rPr>
          <w:rFonts w:ascii="Times New Roman" w:eastAsia="標楷體" w:hAnsi="Times New Roman" w:cs="Times New Roman" w:hint="eastAsia"/>
          <w:sz w:val="26"/>
          <w:szCs w:val="26"/>
        </w:rPr>
        <w:t>持案檢察院</w:t>
      </w:r>
      <w:proofErr w:type="gramEnd"/>
      <w:r>
        <w:rPr>
          <w:rFonts w:ascii="Times New Roman" w:eastAsia="標楷體" w:hAnsi="Times New Roman" w:cs="Times New Roman" w:hint="eastAsia"/>
          <w:sz w:val="26"/>
          <w:szCs w:val="26"/>
        </w:rPr>
        <w:t>司法官的直屬上級介入</w:t>
      </w:r>
    </w:p>
    <w:p w:rsidR="00536371" w:rsidRPr="001F253A" w:rsidRDefault="00536371" w:rsidP="00536371">
      <w:pPr>
        <w:pStyle w:val="a3"/>
        <w:numPr>
          <w:ilvl w:val="5"/>
          <w:numId w:val="1"/>
        </w:numPr>
        <w:ind w:leftChars="0" w:left="1276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偵查的重開</w:t>
      </w:r>
    </w:p>
    <w:p w:rsidR="00536371" w:rsidRDefault="00536371" w:rsidP="00536371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檢察院作出控訴</w:t>
      </w:r>
    </w:p>
    <w:p w:rsidR="00536371" w:rsidRDefault="00536371" w:rsidP="00536371">
      <w:pPr>
        <w:pStyle w:val="a3"/>
        <w:numPr>
          <w:ilvl w:val="5"/>
          <w:numId w:val="1"/>
        </w:numPr>
        <w:ind w:leftChars="0" w:left="1276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輔助人提出自訴</w:t>
      </w:r>
      <w:r w:rsidRPr="00F20938">
        <w:rPr>
          <w:rFonts w:ascii="Times New Roman" w:eastAsia="標楷體" w:hAnsi="Times New Roman" w:cs="Times New Roman"/>
          <w:sz w:val="26"/>
          <w:szCs w:val="26"/>
        </w:rPr>
        <w:t>（</w:t>
      </w:r>
      <w:r>
        <w:rPr>
          <w:rFonts w:ascii="Times New Roman" w:eastAsia="標楷體" w:hAnsi="Times New Roman" w:cs="Times New Roman" w:hint="eastAsia"/>
          <w:sz w:val="26"/>
          <w:szCs w:val="26"/>
        </w:rPr>
        <w:t>非自訴的刑事程序）</w:t>
      </w:r>
    </w:p>
    <w:p w:rsidR="00536371" w:rsidRDefault="00536371" w:rsidP="00536371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如屬免除刑罰情況，由檢察院建議歸檔</w:t>
      </w:r>
    </w:p>
    <w:p w:rsidR="00536371" w:rsidRDefault="00536371" w:rsidP="00536371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檢察院建議暫時中止訴訟程序</w:t>
      </w:r>
    </w:p>
    <w:p w:rsidR="00536371" w:rsidRPr="0094613B" w:rsidRDefault="00536371" w:rsidP="00536371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如屬非經自訴不得進行刑事程序，輔助人提出自訴</w:t>
      </w:r>
    </w:p>
    <w:p w:rsidR="00536371" w:rsidRDefault="00536371" w:rsidP="00536371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0938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預審階段</w:t>
      </w:r>
    </w:p>
    <w:p w:rsidR="00536371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預審的目的</w:t>
      </w:r>
    </w:p>
    <w:p w:rsidR="00536371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聲請展開預審的情況及正當性</w:t>
      </w:r>
    </w:p>
    <w:p w:rsidR="00536371" w:rsidRDefault="00536371" w:rsidP="00536371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檢察院提出控訴</w:t>
      </w:r>
      <w:r w:rsidRPr="00F20938">
        <w:rPr>
          <w:rFonts w:ascii="Times New Roman" w:eastAsia="標楷體" w:hAnsi="Times New Roman" w:cs="Times New Roman"/>
          <w:sz w:val="26"/>
          <w:szCs w:val="26"/>
        </w:rPr>
        <w:t>（</w:t>
      </w:r>
      <w:r>
        <w:rPr>
          <w:rFonts w:ascii="Times New Roman" w:eastAsia="標楷體" w:hAnsi="Times New Roman" w:cs="Times New Roman" w:hint="eastAsia"/>
          <w:sz w:val="26"/>
          <w:szCs w:val="26"/>
        </w:rPr>
        <w:t>或輔助人就私罪提出自訴）</w:t>
      </w:r>
    </w:p>
    <w:p w:rsidR="00536371" w:rsidRPr="00BF5CB4" w:rsidRDefault="00536371" w:rsidP="00536371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檢察院作出歸檔批示</w:t>
      </w:r>
    </w:p>
    <w:p w:rsidR="00536371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預審聲請的駁回</w:t>
      </w:r>
    </w:p>
    <w:p w:rsidR="00536371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調查行為</w:t>
      </w:r>
    </w:p>
    <w:p w:rsidR="00536371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預審辯論</w:t>
      </w:r>
    </w:p>
    <w:p w:rsidR="00536371" w:rsidRDefault="00536371" w:rsidP="00536371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預審辯論的目的</w:t>
      </w:r>
    </w:p>
    <w:p w:rsidR="00536371" w:rsidRDefault="00536371" w:rsidP="00536371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控訴書或展開預審聲請書中所描述事實的變更</w:t>
      </w:r>
    </w:p>
    <w:p w:rsidR="00536371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預審終結</w:t>
      </w:r>
    </w:p>
    <w:p w:rsidR="00536371" w:rsidRDefault="00536371" w:rsidP="00536371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預審的最長存續期</w:t>
      </w:r>
    </w:p>
    <w:p w:rsidR="00536371" w:rsidRDefault="00536371" w:rsidP="00536371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起訴批示</w:t>
      </w:r>
    </w:p>
    <w:p w:rsidR="00536371" w:rsidRDefault="00536371" w:rsidP="00536371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lastRenderedPageBreak/>
        <w:t>不起訴批示</w:t>
      </w:r>
    </w:p>
    <w:p w:rsidR="00536371" w:rsidRPr="006E77BD" w:rsidRDefault="00536371" w:rsidP="00536371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對預審裁決的可上訴性</w:t>
      </w:r>
    </w:p>
    <w:p w:rsidR="00536371" w:rsidRDefault="00536371" w:rsidP="00536371">
      <w:pPr>
        <w:pStyle w:val="a3"/>
        <w:numPr>
          <w:ilvl w:val="1"/>
          <w:numId w:val="1"/>
        </w:numPr>
        <w:ind w:leftChars="0" w:left="709" w:hanging="709"/>
        <w:jc w:val="both"/>
        <w:rPr>
          <w:rFonts w:ascii="Times New Roman" w:eastAsia="標楷體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1822">
        <w:rPr>
          <w:rFonts w:ascii="Times New Roman" w:eastAsia="標楷體" w:hAnsi="Times New Roman" w:cs="Times New Roman" w:hint="eastAsi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審判階段</w:t>
      </w:r>
    </w:p>
    <w:p w:rsidR="00536371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先前行為</w:t>
      </w:r>
    </w:p>
    <w:p w:rsidR="00536371" w:rsidRDefault="00536371" w:rsidP="00536371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訴訟程序的清理</w:t>
      </w:r>
    </w:p>
    <w:p w:rsidR="00536371" w:rsidRDefault="00536371" w:rsidP="00536371">
      <w:pPr>
        <w:pStyle w:val="a3"/>
        <w:numPr>
          <w:ilvl w:val="5"/>
          <w:numId w:val="1"/>
        </w:numPr>
        <w:ind w:leftChars="0" w:left="1276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控訴的事實範圍超越可法律容許的範圍</w:t>
      </w:r>
    </w:p>
    <w:p w:rsidR="00536371" w:rsidRPr="000853A5" w:rsidRDefault="00536371" w:rsidP="00536371">
      <w:pPr>
        <w:pStyle w:val="a3"/>
        <w:numPr>
          <w:ilvl w:val="5"/>
          <w:numId w:val="1"/>
        </w:numPr>
        <w:ind w:leftChars="0" w:left="1276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先前問題或附隨問題</w:t>
      </w:r>
    </w:p>
    <w:p w:rsidR="00536371" w:rsidRDefault="00536371" w:rsidP="00536371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指定聽證日期的批示</w:t>
      </w:r>
    </w:p>
    <w:p w:rsidR="00536371" w:rsidRDefault="00536371" w:rsidP="00536371">
      <w:pPr>
        <w:pStyle w:val="a3"/>
        <w:numPr>
          <w:ilvl w:val="5"/>
          <w:numId w:val="1"/>
        </w:numPr>
        <w:ind w:leftChars="0" w:left="1276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內容及通知</w:t>
      </w:r>
    </w:p>
    <w:p w:rsidR="00536371" w:rsidRDefault="00536371" w:rsidP="00536371">
      <w:pPr>
        <w:pStyle w:val="a3"/>
        <w:numPr>
          <w:ilvl w:val="5"/>
          <w:numId w:val="1"/>
        </w:numPr>
        <w:ind w:leftChars="0" w:left="1276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訴訟程序的公開</w:t>
      </w:r>
    </w:p>
    <w:p w:rsidR="00536371" w:rsidRDefault="00536371" w:rsidP="00536371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提交答辯、證人名單及聲請證據措施</w:t>
      </w:r>
    </w:p>
    <w:p w:rsidR="00536371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審判聽證</w:t>
      </w:r>
    </w:p>
    <w:p w:rsidR="00536371" w:rsidRDefault="00536371" w:rsidP="00536371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一般規定</w:t>
      </w:r>
    </w:p>
    <w:p w:rsidR="00536371" w:rsidRDefault="00536371" w:rsidP="00536371">
      <w:pPr>
        <w:pStyle w:val="a3"/>
        <w:numPr>
          <w:ilvl w:val="5"/>
          <w:numId w:val="1"/>
        </w:numPr>
        <w:ind w:leftChars="0" w:left="1276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聽證的公開及其限制</w:t>
      </w:r>
      <w:r w:rsidRPr="00F20938">
        <w:rPr>
          <w:rFonts w:ascii="Times New Roman" w:eastAsia="標楷體" w:hAnsi="Times New Roman" w:cs="Times New Roman"/>
          <w:sz w:val="26"/>
          <w:szCs w:val="26"/>
        </w:rPr>
        <w:t>（</w:t>
      </w:r>
      <w:r>
        <w:rPr>
          <w:rFonts w:ascii="Times New Roman" w:eastAsia="標楷體" w:hAnsi="Times New Roman" w:cs="Times New Roman" w:hint="eastAsia"/>
          <w:sz w:val="26"/>
          <w:szCs w:val="26"/>
        </w:rPr>
        <w:t>公開原則</w:t>
      </w:r>
      <w:r w:rsidRPr="00B21778">
        <w:rPr>
          <w:rFonts w:ascii="Times New Roman" w:eastAsia="標楷體" w:hAnsi="Times New Roman" w:cs="Times New Roman"/>
          <w:sz w:val="26"/>
          <w:szCs w:val="26"/>
        </w:rPr>
        <w:sym w:font="Wingdings" w:char="F0DF"/>
      </w:r>
      <w:r w:rsidRPr="00B21778">
        <w:rPr>
          <w:rFonts w:ascii="Times New Roman" w:eastAsia="標楷體" w:hAnsi="Times New Roman" w:cs="Times New Roman"/>
          <w:sz w:val="26"/>
          <w:szCs w:val="26"/>
        </w:rPr>
        <w:sym w:font="Wingdings" w:char="F0E0"/>
      </w:r>
      <w:r>
        <w:rPr>
          <w:rFonts w:ascii="Times New Roman" w:eastAsia="標楷體" w:hAnsi="Times New Roman" w:cs="Times New Roman" w:hint="eastAsia"/>
          <w:sz w:val="26"/>
          <w:szCs w:val="26"/>
        </w:rPr>
        <w:t>司法保密原則）</w:t>
      </w:r>
    </w:p>
    <w:p w:rsidR="00536371" w:rsidRPr="005B5DDC" w:rsidRDefault="00536371" w:rsidP="00536371">
      <w:pPr>
        <w:pStyle w:val="a3"/>
        <w:numPr>
          <w:ilvl w:val="5"/>
          <w:numId w:val="1"/>
        </w:numPr>
        <w:ind w:leftChars="0" w:left="1276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聽證的紀律及領導權</w:t>
      </w:r>
    </w:p>
    <w:p w:rsidR="00536371" w:rsidRDefault="00536371" w:rsidP="00536371">
      <w:pPr>
        <w:pStyle w:val="a3"/>
        <w:numPr>
          <w:ilvl w:val="5"/>
          <w:numId w:val="1"/>
        </w:numPr>
        <w:ind w:leftChars="0" w:left="1276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聽證的辯論</w:t>
      </w:r>
      <w:r w:rsidRPr="00F20938">
        <w:rPr>
          <w:rFonts w:ascii="Times New Roman" w:eastAsia="標楷體" w:hAnsi="Times New Roman" w:cs="Times New Roman"/>
          <w:sz w:val="26"/>
          <w:szCs w:val="26"/>
        </w:rPr>
        <w:t>（</w:t>
      </w:r>
      <w:r>
        <w:rPr>
          <w:rFonts w:ascii="Times New Roman" w:eastAsia="標楷體" w:hAnsi="Times New Roman" w:cs="Times New Roman" w:hint="eastAsia"/>
          <w:sz w:val="26"/>
          <w:szCs w:val="26"/>
        </w:rPr>
        <w:t>辯論原則）</w:t>
      </w:r>
    </w:p>
    <w:p w:rsidR="00536371" w:rsidRDefault="00536371" w:rsidP="00536371">
      <w:pPr>
        <w:pStyle w:val="a3"/>
        <w:numPr>
          <w:ilvl w:val="5"/>
          <w:numId w:val="1"/>
        </w:numPr>
        <w:ind w:leftChars="0" w:left="1276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聽證的連續性原則</w:t>
      </w:r>
      <w:r w:rsidRPr="00F20938">
        <w:rPr>
          <w:rFonts w:ascii="Times New Roman" w:eastAsia="標楷體" w:hAnsi="Times New Roman" w:cs="Times New Roman"/>
          <w:sz w:val="26"/>
          <w:szCs w:val="26"/>
        </w:rPr>
        <w:t>（</w:t>
      </w:r>
      <w:r>
        <w:rPr>
          <w:rFonts w:ascii="Times New Roman" w:eastAsia="標楷體" w:hAnsi="Times New Roman" w:cs="Times New Roman" w:hint="eastAsia"/>
          <w:sz w:val="26"/>
          <w:szCs w:val="26"/>
        </w:rPr>
        <w:t>集中原則或密集原則）</w:t>
      </w:r>
    </w:p>
    <w:p w:rsidR="00536371" w:rsidRDefault="00536371" w:rsidP="00536371">
      <w:pPr>
        <w:pStyle w:val="a3"/>
        <w:numPr>
          <w:ilvl w:val="5"/>
          <w:numId w:val="1"/>
        </w:numPr>
        <w:ind w:leftChars="0" w:left="1276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口頭及直接原則</w:t>
      </w:r>
    </w:p>
    <w:p w:rsidR="00536371" w:rsidRDefault="00536371" w:rsidP="00536371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proofErr w:type="gramStart"/>
      <w:r>
        <w:rPr>
          <w:rFonts w:ascii="Times New Roman" w:eastAsia="標楷體" w:hAnsi="Times New Roman" w:cs="Times New Roman" w:hint="eastAsia"/>
          <w:sz w:val="26"/>
          <w:szCs w:val="26"/>
        </w:rPr>
        <w:t>初端行為</w:t>
      </w:r>
      <w:proofErr w:type="gramEnd"/>
    </w:p>
    <w:p w:rsidR="00536371" w:rsidRDefault="00536371" w:rsidP="00536371">
      <w:pPr>
        <w:pStyle w:val="a3"/>
        <w:numPr>
          <w:ilvl w:val="5"/>
          <w:numId w:val="1"/>
        </w:numPr>
        <w:ind w:leftChars="0" w:left="1276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檢察院、辯護人、輔助人</w:t>
      </w:r>
      <w:r>
        <w:rPr>
          <w:rFonts w:ascii="Times New Roman" w:eastAsia="標楷體" w:hAnsi="Times New Roman" w:cs="Times New Roman" w:hint="eastAsia"/>
          <w:sz w:val="26"/>
          <w:szCs w:val="26"/>
        </w:rPr>
        <w:t>/</w:t>
      </w:r>
      <w:r>
        <w:rPr>
          <w:rFonts w:ascii="Times New Roman" w:eastAsia="標楷體" w:hAnsi="Times New Roman" w:cs="Times New Roman" w:hint="eastAsia"/>
          <w:sz w:val="26"/>
          <w:szCs w:val="26"/>
        </w:rPr>
        <w:t>民事當事人的代理人的缺席</w:t>
      </w:r>
    </w:p>
    <w:p w:rsidR="00536371" w:rsidRDefault="00536371" w:rsidP="00536371">
      <w:pPr>
        <w:pStyle w:val="a3"/>
        <w:numPr>
          <w:ilvl w:val="5"/>
          <w:numId w:val="1"/>
        </w:numPr>
        <w:ind w:leftChars="0" w:left="1276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嫌犯的缺席及缺席審判</w:t>
      </w:r>
    </w:p>
    <w:p w:rsidR="00536371" w:rsidRDefault="00536371" w:rsidP="00536371">
      <w:pPr>
        <w:pStyle w:val="a3"/>
        <w:numPr>
          <w:ilvl w:val="5"/>
          <w:numId w:val="1"/>
        </w:numPr>
        <w:ind w:leftChars="0" w:left="1276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輔助人、民事當事人、證人或鑑定人的缺席</w:t>
      </w:r>
    </w:p>
    <w:p w:rsidR="00536371" w:rsidRDefault="00536371" w:rsidP="00536371">
      <w:pPr>
        <w:pStyle w:val="a3"/>
        <w:numPr>
          <w:ilvl w:val="5"/>
          <w:numId w:val="1"/>
        </w:numPr>
        <w:ind w:leftChars="0" w:left="1276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先前問題或附隨問題</w:t>
      </w:r>
    </w:p>
    <w:p w:rsidR="00536371" w:rsidRPr="000173B5" w:rsidRDefault="00536371" w:rsidP="00536371">
      <w:pPr>
        <w:pStyle w:val="a3"/>
        <w:numPr>
          <w:ilvl w:val="5"/>
          <w:numId w:val="1"/>
        </w:numPr>
        <w:ind w:leftChars="0" w:left="1276"/>
        <w:jc w:val="both"/>
        <w:rPr>
          <w:rFonts w:ascii="Times New Roman" w:eastAsia="標楷體" w:hAnsi="Times New Roman" w:cs="Times New Roman"/>
          <w:sz w:val="26"/>
          <w:szCs w:val="26"/>
        </w:rPr>
      </w:pPr>
      <w:proofErr w:type="gramStart"/>
      <w:r>
        <w:rPr>
          <w:rFonts w:ascii="Times New Roman" w:eastAsia="標楷體" w:hAnsi="Times New Roman" w:cs="Times New Roman" w:hint="eastAsia"/>
          <w:sz w:val="26"/>
          <w:szCs w:val="26"/>
        </w:rPr>
        <w:t>初端闡述</w:t>
      </w:r>
      <w:proofErr w:type="gramEnd"/>
    </w:p>
    <w:p w:rsidR="00536371" w:rsidRDefault="00536371" w:rsidP="00536371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調查證據</w:t>
      </w:r>
    </w:p>
    <w:p w:rsidR="00536371" w:rsidRPr="00863A6B" w:rsidRDefault="00536371" w:rsidP="00536371">
      <w:pPr>
        <w:pStyle w:val="a3"/>
        <w:numPr>
          <w:ilvl w:val="5"/>
          <w:numId w:val="1"/>
        </w:numPr>
        <w:ind w:leftChars="0" w:left="1276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嫌犯的聲明</w:t>
      </w:r>
    </w:p>
    <w:p w:rsidR="00536371" w:rsidRDefault="00536371" w:rsidP="00536371">
      <w:pPr>
        <w:pStyle w:val="a3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嫌犯的身分認別</w:t>
      </w:r>
    </w:p>
    <w:p w:rsidR="00536371" w:rsidRDefault="00536371" w:rsidP="00536371">
      <w:pPr>
        <w:pStyle w:val="a3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自認</w:t>
      </w:r>
    </w:p>
    <w:p w:rsidR="00536371" w:rsidRDefault="00536371" w:rsidP="00536371">
      <w:pPr>
        <w:pStyle w:val="a3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沉默權</w:t>
      </w:r>
    </w:p>
    <w:p w:rsidR="00536371" w:rsidRDefault="00536371" w:rsidP="00536371">
      <w:pPr>
        <w:pStyle w:val="a3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嫌犯聲明的容許宣讀</w:t>
      </w:r>
    </w:p>
    <w:p w:rsidR="00536371" w:rsidRDefault="00536371" w:rsidP="00536371">
      <w:pPr>
        <w:pStyle w:val="a3"/>
        <w:numPr>
          <w:ilvl w:val="5"/>
          <w:numId w:val="1"/>
        </w:numPr>
        <w:ind w:leftChars="0" w:left="1276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由檢察院、輔助人及民事原告指定的證據方法</w:t>
      </w:r>
    </w:p>
    <w:p w:rsidR="00536371" w:rsidRDefault="00536371" w:rsidP="00536371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輔助人或民事當事人的聲明</w:t>
      </w:r>
    </w:p>
    <w:p w:rsidR="00536371" w:rsidRDefault="00536371" w:rsidP="00536371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詢問證人</w:t>
      </w:r>
    </w:p>
    <w:p w:rsidR="00536371" w:rsidRDefault="00536371" w:rsidP="00536371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鑑定人的聲明</w:t>
      </w:r>
    </w:p>
    <w:p w:rsidR="00536371" w:rsidRDefault="00536371" w:rsidP="00536371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嫌犯的暫時離場</w:t>
      </w:r>
    </w:p>
    <w:p w:rsidR="00536371" w:rsidRDefault="00536371" w:rsidP="00536371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lastRenderedPageBreak/>
        <w:t>筆錄或聲明的容許宣讀</w:t>
      </w:r>
    </w:p>
    <w:p w:rsidR="00536371" w:rsidRDefault="00536371" w:rsidP="00536371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地方的檢查</w:t>
      </w:r>
    </w:p>
    <w:p w:rsidR="00536371" w:rsidRDefault="00536371" w:rsidP="00536371">
      <w:pPr>
        <w:pStyle w:val="a3"/>
        <w:numPr>
          <w:ilvl w:val="5"/>
          <w:numId w:val="1"/>
        </w:numPr>
        <w:ind w:leftChars="0" w:left="1276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由嫌犯及民事被告指定的證據方法</w:t>
      </w:r>
    </w:p>
    <w:p w:rsidR="00536371" w:rsidRDefault="00536371" w:rsidP="00536371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控訴書或起訴書所描述事實的變更</w:t>
      </w:r>
    </w:p>
    <w:p w:rsidR="00536371" w:rsidRDefault="00536371" w:rsidP="00536371">
      <w:pPr>
        <w:pStyle w:val="a3"/>
        <w:numPr>
          <w:ilvl w:val="5"/>
          <w:numId w:val="1"/>
        </w:numPr>
        <w:ind w:leftChars="0" w:left="1276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非實質變更</w:t>
      </w:r>
    </w:p>
    <w:p w:rsidR="00536371" w:rsidRDefault="00536371" w:rsidP="00536371">
      <w:pPr>
        <w:pStyle w:val="a3"/>
        <w:numPr>
          <w:ilvl w:val="5"/>
          <w:numId w:val="1"/>
        </w:numPr>
        <w:ind w:leftChars="0" w:left="1276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實質變更</w:t>
      </w:r>
    </w:p>
    <w:p w:rsidR="00536371" w:rsidRDefault="00536371" w:rsidP="00536371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口頭陳述</w:t>
      </w:r>
    </w:p>
    <w:p w:rsidR="00536371" w:rsidRDefault="00536371" w:rsidP="00536371">
      <w:pPr>
        <w:pStyle w:val="a3"/>
        <w:numPr>
          <w:ilvl w:val="4"/>
          <w:numId w:val="1"/>
        </w:numPr>
        <w:ind w:leftChars="0" w:left="8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嫌犯的最後聲明</w:t>
      </w:r>
    </w:p>
    <w:p w:rsidR="00536371" w:rsidRDefault="00536371" w:rsidP="00536371">
      <w:pPr>
        <w:pStyle w:val="a3"/>
        <w:numPr>
          <w:ilvl w:val="2"/>
          <w:numId w:val="1"/>
        </w:numPr>
        <w:ind w:leftChars="0" w:left="0" w:firstLine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判決</w:t>
      </w:r>
    </w:p>
    <w:p w:rsidR="00536371" w:rsidRDefault="00536371" w:rsidP="00536371">
      <w:pPr>
        <w:pStyle w:val="a3"/>
        <w:numPr>
          <w:ilvl w:val="4"/>
          <w:numId w:val="1"/>
        </w:numPr>
        <w:ind w:leftChars="0" w:left="851" w:hanging="348"/>
        <w:jc w:val="both"/>
        <w:rPr>
          <w:rFonts w:ascii="Times New Roman" w:eastAsia="標楷體" w:hAnsi="Times New Roman" w:cs="Times New Roman"/>
          <w:sz w:val="26"/>
          <w:szCs w:val="26"/>
        </w:rPr>
      </w:pPr>
      <w:proofErr w:type="gramStart"/>
      <w:r>
        <w:rPr>
          <w:rFonts w:ascii="Times New Roman" w:eastAsia="標楷體" w:hAnsi="Times New Roman" w:cs="Times New Roman" w:hint="eastAsia"/>
          <w:sz w:val="26"/>
          <w:szCs w:val="26"/>
        </w:rPr>
        <w:t>獨任庭判決</w:t>
      </w:r>
      <w:proofErr w:type="gramEnd"/>
      <w:r>
        <w:rPr>
          <w:rFonts w:ascii="Times New Roman" w:eastAsia="標楷體" w:hAnsi="Times New Roman" w:cs="Times New Roman" w:hint="eastAsia"/>
          <w:sz w:val="26"/>
          <w:szCs w:val="26"/>
        </w:rPr>
        <w:t>與合議庭裁判</w:t>
      </w:r>
    </w:p>
    <w:p w:rsidR="00536371" w:rsidRDefault="00536371" w:rsidP="00536371">
      <w:pPr>
        <w:pStyle w:val="a3"/>
        <w:numPr>
          <w:ilvl w:val="4"/>
          <w:numId w:val="1"/>
        </w:numPr>
        <w:ind w:leftChars="0" w:left="851" w:hanging="348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社會報告書</w:t>
      </w:r>
    </w:p>
    <w:p w:rsidR="00536371" w:rsidRDefault="00536371" w:rsidP="00536371">
      <w:pPr>
        <w:pStyle w:val="a3"/>
        <w:numPr>
          <w:ilvl w:val="4"/>
          <w:numId w:val="1"/>
        </w:numPr>
        <w:ind w:leftChars="0" w:left="851" w:hanging="348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為確定制裁而</w:t>
      </w:r>
      <w:proofErr w:type="gramStart"/>
      <w:r>
        <w:rPr>
          <w:rFonts w:ascii="Times New Roman" w:eastAsia="標楷體" w:hAnsi="Times New Roman" w:cs="Times New Roman" w:hint="eastAsia"/>
          <w:sz w:val="26"/>
          <w:szCs w:val="26"/>
        </w:rPr>
        <w:t>重開聽證</w:t>
      </w:r>
      <w:proofErr w:type="gramEnd"/>
    </w:p>
    <w:p w:rsidR="00536371" w:rsidRDefault="00536371" w:rsidP="00536371">
      <w:pPr>
        <w:pStyle w:val="a3"/>
        <w:numPr>
          <w:ilvl w:val="4"/>
          <w:numId w:val="1"/>
        </w:numPr>
        <w:ind w:leftChars="0" w:left="851" w:hanging="348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製作及宣讀判決書</w:t>
      </w:r>
    </w:p>
    <w:p w:rsidR="00536371" w:rsidRDefault="00536371" w:rsidP="00536371">
      <w:pPr>
        <w:pStyle w:val="a3"/>
        <w:numPr>
          <w:ilvl w:val="4"/>
          <w:numId w:val="1"/>
        </w:numPr>
        <w:ind w:leftChars="0" w:left="851" w:hanging="348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判決書的要件</w:t>
      </w:r>
    </w:p>
    <w:p w:rsidR="00536371" w:rsidRDefault="00536371" w:rsidP="00536371">
      <w:pPr>
        <w:pStyle w:val="a3"/>
        <w:numPr>
          <w:ilvl w:val="5"/>
          <w:numId w:val="1"/>
        </w:numPr>
        <w:ind w:leftChars="0" w:left="1276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先前問題或附隨問題</w:t>
      </w:r>
    </w:p>
    <w:p w:rsidR="00536371" w:rsidRDefault="00536371" w:rsidP="00536371">
      <w:pPr>
        <w:pStyle w:val="a3"/>
        <w:numPr>
          <w:ilvl w:val="5"/>
          <w:numId w:val="1"/>
        </w:numPr>
        <w:ind w:leftChars="0" w:left="1276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有罪判決</w:t>
      </w:r>
    </w:p>
    <w:p w:rsidR="00536371" w:rsidRDefault="00536371" w:rsidP="00536371">
      <w:pPr>
        <w:pStyle w:val="a3"/>
        <w:numPr>
          <w:ilvl w:val="5"/>
          <w:numId w:val="1"/>
        </w:numPr>
        <w:ind w:leftChars="0" w:left="1276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無罪判決</w:t>
      </w:r>
    </w:p>
    <w:p w:rsidR="00536371" w:rsidRDefault="00536371" w:rsidP="00536371">
      <w:pPr>
        <w:pStyle w:val="a3"/>
        <w:numPr>
          <w:ilvl w:val="5"/>
          <w:numId w:val="1"/>
        </w:numPr>
        <w:ind w:leftChars="0" w:left="1276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關於民事損害賠償請求的裁判</w:t>
      </w:r>
    </w:p>
    <w:p w:rsidR="00536371" w:rsidRDefault="00536371" w:rsidP="00536371">
      <w:pPr>
        <w:pStyle w:val="a3"/>
        <w:numPr>
          <w:ilvl w:val="5"/>
          <w:numId w:val="1"/>
        </w:numPr>
        <w:ind w:leftChars="0" w:left="1276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依職權裁定的民事損害賠償</w:t>
      </w:r>
    </w:p>
    <w:p w:rsidR="00536371" w:rsidRDefault="00536371" w:rsidP="00536371">
      <w:pPr>
        <w:pStyle w:val="a3"/>
        <w:numPr>
          <w:ilvl w:val="4"/>
          <w:numId w:val="1"/>
        </w:numPr>
        <w:ind w:leftChars="0" w:left="851" w:hanging="348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無罪判決的公布</w:t>
      </w:r>
    </w:p>
    <w:p w:rsidR="00536371" w:rsidRDefault="00536371" w:rsidP="00536371">
      <w:pPr>
        <w:pStyle w:val="a3"/>
        <w:numPr>
          <w:ilvl w:val="4"/>
          <w:numId w:val="1"/>
        </w:numPr>
        <w:ind w:leftChars="0" w:left="851" w:hanging="348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判決的無效</w:t>
      </w:r>
    </w:p>
    <w:p w:rsidR="00536371" w:rsidRDefault="00536371" w:rsidP="00536371">
      <w:pPr>
        <w:pStyle w:val="a3"/>
        <w:numPr>
          <w:ilvl w:val="4"/>
          <w:numId w:val="1"/>
        </w:numPr>
        <w:ind w:leftChars="0" w:left="851" w:hanging="348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判決的更正</w:t>
      </w:r>
    </w:p>
    <w:p w:rsidR="00536371" w:rsidRPr="00E46595" w:rsidRDefault="00536371" w:rsidP="00536371">
      <w:pPr>
        <w:pStyle w:val="a3"/>
        <w:numPr>
          <w:ilvl w:val="4"/>
          <w:numId w:val="1"/>
        </w:numPr>
        <w:ind w:leftChars="0" w:left="851" w:hanging="348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判決的確定</w:t>
      </w:r>
    </w:p>
    <w:p w:rsidR="00536371" w:rsidRDefault="00536371" w:rsidP="00536371"/>
    <w:p w:rsidR="00536371" w:rsidRDefault="00536371" w:rsidP="00536371">
      <w:r>
        <w:br w:type="page"/>
      </w:r>
    </w:p>
    <w:p w:rsidR="00536371" w:rsidRDefault="00536371" w:rsidP="00536371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F20938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【</w:t>
      </w:r>
      <w:r>
        <w:rPr>
          <w:rFonts w:ascii="Times New Roman" w:eastAsia="標楷體" w:hAnsi="Times New Roman" w:cs="Times New Roman" w:hint="eastAsia"/>
          <w:sz w:val="32"/>
          <w:szCs w:val="32"/>
        </w:rPr>
        <w:t>參考書目</w:t>
      </w:r>
      <w:r w:rsidRPr="00F20938">
        <w:rPr>
          <w:rFonts w:ascii="Times New Roman" w:eastAsia="標楷體" w:hAnsi="Times New Roman" w:cs="Times New Roman" w:hint="eastAsia"/>
          <w:sz w:val="32"/>
          <w:szCs w:val="32"/>
        </w:rPr>
        <w:t>】</w:t>
      </w:r>
    </w:p>
    <w:p w:rsidR="00536371" w:rsidRDefault="00536371" w:rsidP="00536371">
      <w:pPr>
        <w:spacing w:afterLines="50" w:after="180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536371" w:rsidRDefault="00536371" w:rsidP="00536371">
      <w:pPr>
        <w:pStyle w:val="a3"/>
        <w:numPr>
          <w:ilvl w:val="1"/>
          <w:numId w:val="2"/>
        </w:numPr>
        <w:spacing w:afterLines="50" w:after="180"/>
        <w:ind w:leftChars="0" w:left="567" w:hangingChars="218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喬治</w:t>
      </w:r>
      <w:proofErr w:type="gramStart"/>
      <w:r>
        <w:rPr>
          <w:rFonts w:ascii="Times New Roman" w:eastAsia="標楷體" w:hAnsi="Times New Roman" w:cs="Times New Roman" w:hint="eastAsia"/>
          <w:sz w:val="26"/>
          <w:szCs w:val="26"/>
        </w:rPr>
        <w:t>‧</w:t>
      </w:r>
      <w:proofErr w:type="gramEnd"/>
      <w:r>
        <w:rPr>
          <w:rFonts w:ascii="Times New Roman" w:eastAsia="標楷體" w:hAnsi="Times New Roman" w:cs="Times New Roman" w:hint="eastAsia"/>
          <w:sz w:val="26"/>
          <w:szCs w:val="26"/>
        </w:rPr>
        <w:t>德</w:t>
      </w:r>
      <w:proofErr w:type="gramStart"/>
      <w:r>
        <w:rPr>
          <w:rFonts w:ascii="Times New Roman" w:eastAsia="標楷體" w:hAnsi="Times New Roman" w:cs="Times New Roman" w:hint="eastAsia"/>
          <w:sz w:val="26"/>
          <w:szCs w:val="26"/>
        </w:rPr>
        <w:t>‧</w:t>
      </w:r>
      <w:proofErr w:type="gramEnd"/>
      <w:r>
        <w:rPr>
          <w:rFonts w:ascii="Times New Roman" w:eastAsia="標楷體" w:hAnsi="Times New Roman" w:cs="Times New Roman" w:hint="eastAsia"/>
          <w:sz w:val="26"/>
          <w:szCs w:val="26"/>
        </w:rPr>
        <w:t>菲格雷多</w:t>
      </w:r>
      <w:proofErr w:type="gramStart"/>
      <w:r>
        <w:rPr>
          <w:rFonts w:ascii="Times New Roman" w:eastAsia="標楷體" w:hAnsi="Times New Roman" w:cs="Times New Roman" w:hint="eastAsia"/>
          <w:sz w:val="26"/>
          <w:szCs w:val="26"/>
        </w:rPr>
        <w:t>‧迪</w:t>
      </w:r>
      <w:proofErr w:type="gramEnd"/>
      <w:r>
        <w:rPr>
          <w:rFonts w:ascii="Times New Roman" w:eastAsia="標楷體" w:hAnsi="Times New Roman" w:cs="Times New Roman" w:hint="eastAsia"/>
          <w:sz w:val="26"/>
          <w:szCs w:val="26"/>
        </w:rPr>
        <w:t>亞士</w:t>
      </w:r>
      <w:r w:rsidRPr="00F20938">
        <w:rPr>
          <w:rFonts w:ascii="Times New Roman" w:eastAsia="標楷體" w:hAnsi="Times New Roman" w:cs="Times New Roman"/>
          <w:sz w:val="26"/>
          <w:szCs w:val="26"/>
        </w:rPr>
        <w:t>（</w:t>
      </w:r>
      <w:r w:rsidRPr="00B5566C">
        <w:rPr>
          <w:rFonts w:ascii="Times New Roman" w:eastAsia="標楷體" w:hAnsi="Times New Roman" w:cs="Times New Roman"/>
          <w:sz w:val="26"/>
          <w:szCs w:val="26"/>
        </w:rPr>
        <w:t xml:space="preserve">Jorge de </w:t>
      </w:r>
      <w:proofErr w:type="spellStart"/>
      <w:r w:rsidRPr="00B5566C">
        <w:rPr>
          <w:rFonts w:ascii="Times New Roman" w:eastAsia="標楷體" w:hAnsi="Times New Roman" w:cs="Times New Roman"/>
          <w:sz w:val="26"/>
          <w:szCs w:val="26"/>
        </w:rPr>
        <w:t>Figueiredo</w:t>
      </w:r>
      <w:proofErr w:type="spellEnd"/>
      <w:r w:rsidRPr="00B5566C">
        <w:rPr>
          <w:rFonts w:ascii="Times New Roman" w:eastAsia="標楷體" w:hAnsi="Times New Roman" w:cs="Times New Roman"/>
          <w:sz w:val="26"/>
          <w:szCs w:val="26"/>
        </w:rPr>
        <w:t xml:space="preserve"> Dias</w:t>
      </w:r>
      <w:proofErr w:type="gramStart"/>
      <w:r w:rsidRPr="00B5566C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著</w:t>
      </w:r>
      <w:proofErr w:type="gramEnd"/>
      <w:r w:rsidRPr="00B5566C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馬哲、</w:t>
      </w:r>
      <w:proofErr w:type="gramStart"/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繳潔譯</w:t>
      </w:r>
      <w:proofErr w:type="gramEnd"/>
      <w:r w:rsidRPr="00B5566C">
        <w:rPr>
          <w:rFonts w:ascii="Times New Roman" w:eastAsia="標楷體" w:hAnsi="Times New Roman" w:cs="Times New Roman" w:hint="eastAsia"/>
          <w:sz w:val="26"/>
          <w:szCs w:val="26"/>
        </w:rPr>
        <w:t>：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《刑事訴訟法》</w:t>
      </w:r>
      <w:r w:rsidRPr="00B5566C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社會科學文獻出版社</w:t>
      </w:r>
      <w:r w:rsidRPr="00B5566C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澳門大學</w:t>
      </w:r>
      <w:r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536371" w:rsidRDefault="00536371" w:rsidP="00536371">
      <w:pPr>
        <w:pStyle w:val="a3"/>
        <w:numPr>
          <w:ilvl w:val="1"/>
          <w:numId w:val="2"/>
        </w:numPr>
        <w:spacing w:afterLines="50" w:after="180"/>
        <w:ind w:leftChars="0" w:left="567" w:hangingChars="218" w:hanging="567"/>
        <w:jc w:val="both"/>
        <w:rPr>
          <w:rFonts w:ascii="Times New Roman" w:eastAsia="標楷體" w:hAnsi="Times New Roman" w:cs="Times New Roman"/>
          <w:sz w:val="26"/>
          <w:szCs w:val="26"/>
          <w:lang w:val="pt-PT"/>
        </w:rPr>
      </w:pPr>
      <w:r>
        <w:rPr>
          <w:rFonts w:ascii="Times New Roman" w:eastAsia="標楷體" w:hAnsi="Times New Roman" w:cs="Times New Roman"/>
          <w:sz w:val="26"/>
          <w:szCs w:val="26"/>
          <w:lang w:val="pt-PT"/>
        </w:rPr>
        <w:t>Germano Marques da Silva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：《</w:t>
      </w:r>
      <w:r>
        <w:rPr>
          <w:rFonts w:ascii="Times New Roman" w:eastAsia="標楷體" w:hAnsi="Times New Roman" w:cs="Times New Roman"/>
          <w:sz w:val="26"/>
          <w:szCs w:val="26"/>
          <w:lang w:val="pt-PT"/>
        </w:rPr>
        <w:t>CURSO DE PROCESSO PENAL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》，</w:t>
      </w:r>
      <w:r w:rsidRPr="002B4E76">
        <w:rPr>
          <w:rFonts w:ascii="Times New Roman" w:eastAsia="標楷體" w:hAnsi="Times New Roman" w:cs="Times New Roman"/>
          <w:sz w:val="26"/>
          <w:szCs w:val="26"/>
          <w:lang w:val="pt-PT"/>
        </w:rPr>
        <w:t xml:space="preserve">Vol. </w:t>
      </w:r>
      <w:r>
        <w:rPr>
          <w:rFonts w:ascii="Times New Roman" w:eastAsia="標楷體" w:hAnsi="Times New Roman" w:cs="Times New Roman"/>
          <w:sz w:val="26"/>
          <w:szCs w:val="26"/>
          <w:lang w:val="pt-PT"/>
        </w:rPr>
        <w:t>I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，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4.</w:t>
      </w:r>
      <w:r>
        <w:rPr>
          <w:rFonts w:ascii="Times New Roman" w:eastAsia="標楷體" w:hAnsi="Times New Roman" w:cs="Times New Roman"/>
          <w:sz w:val="26"/>
          <w:szCs w:val="26"/>
          <w:lang w:val="pt-PT"/>
        </w:rPr>
        <w:t>ª Edição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，</w:t>
      </w:r>
      <w:r>
        <w:rPr>
          <w:rFonts w:ascii="Times New Roman" w:eastAsia="標楷體" w:hAnsi="Times New Roman" w:cs="Times New Roman"/>
          <w:sz w:val="26"/>
          <w:szCs w:val="26"/>
          <w:lang w:val="pt-PT"/>
        </w:rPr>
        <w:t>Editorial VERBO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，</w:t>
      </w:r>
      <w:r>
        <w:rPr>
          <w:rFonts w:ascii="Times New Roman" w:eastAsia="標楷體" w:hAnsi="Times New Roman" w:cs="Times New Roman"/>
          <w:sz w:val="26"/>
          <w:szCs w:val="26"/>
          <w:lang w:val="pt-PT"/>
        </w:rPr>
        <w:t>2000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。</w:t>
      </w:r>
    </w:p>
    <w:p w:rsidR="00536371" w:rsidRDefault="00536371" w:rsidP="00536371">
      <w:pPr>
        <w:pStyle w:val="a3"/>
        <w:numPr>
          <w:ilvl w:val="1"/>
          <w:numId w:val="2"/>
        </w:numPr>
        <w:spacing w:afterLines="50" w:after="180"/>
        <w:ind w:leftChars="0" w:left="567" w:hangingChars="218" w:hanging="567"/>
        <w:jc w:val="both"/>
        <w:rPr>
          <w:rFonts w:ascii="Times New Roman" w:eastAsia="標楷體" w:hAnsi="Times New Roman" w:cs="Times New Roman"/>
          <w:sz w:val="26"/>
          <w:szCs w:val="26"/>
          <w:lang w:val="pt-PT"/>
        </w:rPr>
      </w:pPr>
      <w:r w:rsidRPr="002B4E76">
        <w:rPr>
          <w:rFonts w:ascii="Times New Roman" w:eastAsia="標楷體" w:hAnsi="Times New Roman" w:cs="Times New Roman"/>
          <w:sz w:val="26"/>
          <w:szCs w:val="26"/>
          <w:lang w:val="pt-PT"/>
        </w:rPr>
        <w:t>Germano Marques da Silva</w:t>
      </w:r>
      <w:r w:rsidRPr="002B4E76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：《</w:t>
      </w:r>
      <w:r w:rsidRPr="002B4E76">
        <w:rPr>
          <w:rFonts w:ascii="Times New Roman" w:eastAsia="標楷體" w:hAnsi="Times New Roman" w:cs="Times New Roman"/>
          <w:sz w:val="26"/>
          <w:szCs w:val="26"/>
          <w:lang w:val="pt-PT"/>
        </w:rPr>
        <w:t>CURSO DE PROCESSO PENAL</w:t>
      </w:r>
      <w:r w:rsidRPr="002B4E76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》，</w:t>
      </w:r>
      <w:r w:rsidRPr="002B4E76">
        <w:rPr>
          <w:rFonts w:ascii="Times New Roman" w:eastAsia="標楷體" w:hAnsi="Times New Roman" w:cs="Times New Roman"/>
          <w:sz w:val="26"/>
          <w:szCs w:val="26"/>
          <w:lang w:val="pt-PT"/>
        </w:rPr>
        <w:t>Vol. I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I</w:t>
      </w:r>
      <w:r w:rsidRPr="002B4E76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，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3</w:t>
      </w:r>
      <w:r w:rsidRPr="002B4E76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.</w:t>
      </w:r>
      <w:r w:rsidRPr="002B4E76">
        <w:rPr>
          <w:rFonts w:ascii="Times New Roman" w:eastAsia="標楷體" w:hAnsi="Times New Roman" w:cs="Times New Roman"/>
          <w:sz w:val="26"/>
          <w:szCs w:val="26"/>
          <w:lang w:val="pt-PT"/>
        </w:rPr>
        <w:t>ª Edição</w:t>
      </w:r>
      <w:r w:rsidRPr="002B4E76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，</w:t>
      </w:r>
      <w:r w:rsidRPr="002B4E76">
        <w:rPr>
          <w:rFonts w:ascii="Times New Roman" w:eastAsia="標楷體" w:hAnsi="Times New Roman" w:cs="Times New Roman"/>
          <w:sz w:val="26"/>
          <w:szCs w:val="26"/>
          <w:lang w:val="pt-PT"/>
        </w:rPr>
        <w:t>Editorial VERBO</w:t>
      </w:r>
      <w:r w:rsidRPr="002B4E76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，</w:t>
      </w:r>
      <w:r>
        <w:rPr>
          <w:rFonts w:ascii="Times New Roman" w:eastAsia="標楷體" w:hAnsi="Times New Roman" w:cs="Times New Roman"/>
          <w:sz w:val="26"/>
          <w:szCs w:val="26"/>
          <w:lang w:val="pt-PT"/>
        </w:rPr>
        <w:t>200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2</w:t>
      </w:r>
      <w:r w:rsidRPr="002B4E76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。</w:t>
      </w:r>
    </w:p>
    <w:p w:rsidR="00536371" w:rsidRDefault="00536371" w:rsidP="00536371">
      <w:pPr>
        <w:pStyle w:val="a3"/>
        <w:numPr>
          <w:ilvl w:val="1"/>
          <w:numId w:val="2"/>
        </w:numPr>
        <w:spacing w:afterLines="50" w:after="180"/>
        <w:ind w:leftChars="0" w:left="567" w:hangingChars="218" w:hanging="567"/>
        <w:jc w:val="both"/>
        <w:rPr>
          <w:rFonts w:ascii="Times New Roman" w:eastAsia="標楷體" w:hAnsi="Times New Roman" w:cs="Times New Roman"/>
          <w:sz w:val="26"/>
          <w:szCs w:val="26"/>
          <w:lang w:val="pt-PT"/>
        </w:rPr>
      </w:pPr>
      <w:r w:rsidRPr="002B4E76">
        <w:rPr>
          <w:rFonts w:ascii="Times New Roman" w:eastAsia="標楷體" w:hAnsi="Times New Roman" w:cs="Times New Roman"/>
          <w:sz w:val="26"/>
          <w:szCs w:val="26"/>
          <w:lang w:val="pt-PT"/>
        </w:rPr>
        <w:t>Germano Marques da Silva</w:t>
      </w:r>
      <w:r w:rsidRPr="002B4E76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：《</w:t>
      </w:r>
      <w:r w:rsidRPr="002B4E76">
        <w:rPr>
          <w:rFonts w:ascii="Times New Roman" w:eastAsia="標楷體" w:hAnsi="Times New Roman" w:cs="Times New Roman"/>
          <w:sz w:val="26"/>
          <w:szCs w:val="26"/>
          <w:lang w:val="pt-PT"/>
        </w:rPr>
        <w:t>CURSO DE PROCESSO PENAL</w:t>
      </w:r>
      <w:r w:rsidRPr="002B4E76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》，</w:t>
      </w:r>
      <w:r w:rsidRPr="002B4E76">
        <w:rPr>
          <w:rFonts w:ascii="Times New Roman" w:eastAsia="標楷體" w:hAnsi="Times New Roman" w:cs="Times New Roman"/>
          <w:sz w:val="26"/>
          <w:szCs w:val="26"/>
          <w:lang w:val="pt-PT"/>
        </w:rPr>
        <w:t>Vol. I</w:t>
      </w:r>
      <w:r w:rsidRPr="002B4E76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I</w:t>
      </w:r>
      <w:r>
        <w:rPr>
          <w:rFonts w:ascii="Times New Roman" w:eastAsia="標楷體" w:hAnsi="Times New Roman" w:cs="Times New Roman"/>
          <w:sz w:val="26"/>
          <w:szCs w:val="26"/>
          <w:lang w:val="pt-PT"/>
        </w:rPr>
        <w:t>I</w:t>
      </w:r>
      <w:r w:rsidRPr="002B4E76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，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2</w:t>
      </w:r>
      <w:r w:rsidRPr="002B4E76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.</w:t>
      </w:r>
      <w:r w:rsidRPr="002B4E76">
        <w:rPr>
          <w:rFonts w:ascii="Times New Roman" w:eastAsia="標楷體" w:hAnsi="Times New Roman" w:cs="Times New Roman"/>
          <w:sz w:val="26"/>
          <w:szCs w:val="26"/>
          <w:lang w:val="pt-PT"/>
        </w:rPr>
        <w:t>ª Edição</w:t>
      </w:r>
      <w:r w:rsidRPr="002B4E76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，</w:t>
      </w:r>
      <w:r w:rsidRPr="002B4E76">
        <w:rPr>
          <w:rFonts w:ascii="Times New Roman" w:eastAsia="標楷體" w:hAnsi="Times New Roman" w:cs="Times New Roman"/>
          <w:sz w:val="26"/>
          <w:szCs w:val="26"/>
          <w:lang w:val="pt-PT"/>
        </w:rPr>
        <w:t>Editorial VERBO</w:t>
      </w:r>
      <w:r w:rsidRPr="002B4E76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，</w:t>
      </w:r>
      <w:r w:rsidRPr="002B4E76">
        <w:rPr>
          <w:rFonts w:ascii="Times New Roman" w:eastAsia="標楷體" w:hAnsi="Times New Roman" w:cs="Times New Roman"/>
          <w:sz w:val="26"/>
          <w:szCs w:val="26"/>
          <w:lang w:val="pt-PT"/>
        </w:rPr>
        <w:t>200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0</w:t>
      </w:r>
      <w:r w:rsidRPr="002B4E76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。</w:t>
      </w:r>
    </w:p>
    <w:p w:rsidR="00536371" w:rsidRDefault="00536371" w:rsidP="00536371">
      <w:pPr>
        <w:pStyle w:val="a3"/>
        <w:numPr>
          <w:ilvl w:val="1"/>
          <w:numId w:val="2"/>
        </w:numPr>
        <w:spacing w:afterLines="50" w:after="180"/>
        <w:ind w:leftChars="0" w:left="567" w:hangingChars="218" w:hanging="567"/>
        <w:jc w:val="both"/>
        <w:rPr>
          <w:rFonts w:ascii="Times New Roman" w:eastAsia="標楷體" w:hAnsi="Times New Roman" w:cs="Times New Roman"/>
          <w:sz w:val="26"/>
          <w:szCs w:val="26"/>
          <w:lang w:val="pt-PT"/>
        </w:rPr>
      </w:pPr>
      <w:r w:rsidRPr="00F263CB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徐京輝、</w:t>
      </w:r>
      <w:proofErr w:type="gramStart"/>
      <w:r w:rsidRPr="00F263CB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程立福著</w:t>
      </w:r>
      <w:proofErr w:type="gramEnd"/>
      <w:r w:rsidRPr="00F263CB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：《澳門刑事訴訟法》，</w:t>
      </w:r>
      <w:r w:rsidRPr="00F263CB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1999</w:t>
      </w:r>
      <w:r w:rsidRPr="00F263CB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年</w:t>
      </w:r>
      <w:r w:rsidRPr="00F263CB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4</w:t>
      </w:r>
      <w:r w:rsidRPr="00F263CB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月第</w:t>
      </w:r>
      <w:r w:rsidRPr="00F263CB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1</w:t>
      </w:r>
      <w:r w:rsidRPr="00F263CB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版，澳門基金會出版。</w:t>
      </w:r>
    </w:p>
    <w:p w:rsidR="00536371" w:rsidRDefault="00536371" w:rsidP="00536371">
      <w:pPr>
        <w:pStyle w:val="a3"/>
        <w:numPr>
          <w:ilvl w:val="1"/>
          <w:numId w:val="2"/>
        </w:numPr>
        <w:spacing w:afterLines="50" w:after="180"/>
        <w:ind w:leftChars="0" w:left="567" w:hangingChars="218" w:hanging="567"/>
        <w:jc w:val="both"/>
        <w:rPr>
          <w:rFonts w:ascii="Times New Roman" w:eastAsia="標楷體" w:hAnsi="Times New Roman" w:cs="Times New Roman"/>
          <w:sz w:val="26"/>
          <w:szCs w:val="26"/>
          <w:lang w:val="pt-PT"/>
        </w:rPr>
      </w:pPr>
      <w:proofErr w:type="gramStart"/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邱庭彪</w:t>
      </w:r>
      <w:r w:rsidRPr="00F263CB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著</w:t>
      </w:r>
      <w:proofErr w:type="gramEnd"/>
      <w:r w:rsidRPr="00F263CB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：《澳門刑事訴訟法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分論</w:t>
      </w:r>
      <w:r w:rsidRPr="00F263CB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》，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社會科學文獻出版社</w:t>
      </w:r>
      <w:r w:rsidRPr="00B5566C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澳門基金會</w:t>
      </w:r>
      <w:r w:rsidRPr="00F263CB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。</w:t>
      </w:r>
    </w:p>
    <w:p w:rsidR="00536371" w:rsidRDefault="00536371" w:rsidP="00536371">
      <w:pPr>
        <w:pStyle w:val="a3"/>
        <w:numPr>
          <w:ilvl w:val="1"/>
          <w:numId w:val="2"/>
        </w:numPr>
        <w:spacing w:afterLines="50" w:after="180"/>
        <w:ind w:leftChars="0" w:left="567" w:hangingChars="218" w:hanging="567"/>
        <w:jc w:val="both"/>
        <w:rPr>
          <w:rFonts w:ascii="Times New Roman" w:eastAsia="標楷體" w:hAnsi="Times New Roman" w:cs="Times New Roman"/>
          <w:sz w:val="26"/>
          <w:szCs w:val="26"/>
          <w:lang w:val="pt-PT"/>
        </w:rPr>
      </w:pPr>
      <w:proofErr w:type="gramStart"/>
      <w:r w:rsidRPr="00932B9B">
        <w:rPr>
          <w:rFonts w:ascii="Times New Roman" w:eastAsia="標楷體" w:hAnsi="Times New Roman" w:cs="Times New Roman"/>
          <w:sz w:val="26"/>
          <w:szCs w:val="26"/>
          <w:lang w:val="pt-PT"/>
        </w:rPr>
        <w:t>Manuel Leal-Henriques</w:t>
      </w:r>
      <w:r>
        <w:rPr>
          <w:rFonts w:ascii="Times New Roman" w:eastAsia="標楷體" w:hAnsi="Times New Roman" w:cs="Times New Roman" w:hint="eastAsia"/>
          <w:sz w:val="26"/>
          <w:szCs w:val="26"/>
        </w:rPr>
        <w:t>著</w:t>
      </w:r>
      <w:proofErr w:type="gramEnd"/>
      <w:r w:rsidRPr="00932B9B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，</w:t>
      </w:r>
      <w:r>
        <w:rPr>
          <w:rFonts w:ascii="Times New Roman" w:eastAsia="標楷體" w:hAnsi="Times New Roman" w:cs="Times New Roman" w:hint="eastAsia"/>
          <w:sz w:val="26"/>
          <w:szCs w:val="26"/>
        </w:rPr>
        <w:t>盧映霞譯</w:t>
      </w:r>
      <w:r w:rsidRPr="00932B9B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：《澳門刑事訴訟法教程》上冊</w:t>
      </w:r>
      <w:r w:rsidRPr="00932B9B">
        <w:rPr>
          <w:rFonts w:ascii="Times New Roman" w:eastAsia="標楷體" w:hAnsi="Times New Roman" w:cs="Times New Roman"/>
          <w:sz w:val="26"/>
          <w:szCs w:val="26"/>
          <w:lang w:val="pt-PT"/>
        </w:rPr>
        <w:t>（</w:t>
      </w:r>
      <w:r w:rsidRPr="00932B9B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第</w:t>
      </w:r>
      <w:r w:rsidR="00AA0A12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三</w:t>
      </w:r>
      <w:r w:rsidRPr="00932B9B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版</w:t>
      </w:r>
      <w:r w:rsidR="00AA0A12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，修正及更新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）</w:t>
      </w:r>
      <w:proofErr w:type="gramStart"/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─</w:t>
      </w:r>
      <w:proofErr w:type="gramEnd"/>
      <w:r w:rsidRPr="00932B9B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中文版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，法律及司法培訓中心，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20</w:t>
      </w:r>
      <w:r w:rsidR="00AA0A12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2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0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年。</w:t>
      </w:r>
    </w:p>
    <w:p w:rsidR="00536371" w:rsidRDefault="00536371" w:rsidP="00536371">
      <w:pPr>
        <w:pStyle w:val="a3"/>
        <w:numPr>
          <w:ilvl w:val="1"/>
          <w:numId w:val="2"/>
        </w:numPr>
        <w:spacing w:afterLines="50" w:after="180"/>
        <w:ind w:leftChars="0" w:left="567" w:hangingChars="218" w:hanging="567"/>
        <w:jc w:val="both"/>
        <w:rPr>
          <w:rFonts w:ascii="Times New Roman" w:eastAsia="標楷體" w:hAnsi="Times New Roman" w:cs="Times New Roman"/>
          <w:sz w:val="26"/>
          <w:szCs w:val="26"/>
          <w:lang w:val="pt-PT"/>
        </w:rPr>
      </w:pPr>
      <w:proofErr w:type="gramStart"/>
      <w:r w:rsidRPr="00932B9B">
        <w:rPr>
          <w:rFonts w:ascii="Times New Roman" w:eastAsia="標楷體" w:hAnsi="Times New Roman" w:cs="Times New Roman"/>
          <w:sz w:val="26"/>
          <w:szCs w:val="26"/>
          <w:lang w:val="pt-PT"/>
        </w:rPr>
        <w:t>Manuel Leal-Henriques</w:t>
      </w:r>
      <w:r>
        <w:rPr>
          <w:rFonts w:ascii="Times New Roman" w:eastAsia="標楷體" w:hAnsi="Times New Roman" w:cs="Times New Roman" w:hint="eastAsia"/>
          <w:sz w:val="26"/>
          <w:szCs w:val="26"/>
        </w:rPr>
        <w:t>著</w:t>
      </w:r>
      <w:proofErr w:type="gramEnd"/>
      <w:r w:rsidRPr="00932B9B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，</w:t>
      </w:r>
      <w:r>
        <w:rPr>
          <w:rFonts w:ascii="Times New Roman" w:eastAsia="標楷體" w:hAnsi="Times New Roman" w:cs="Times New Roman" w:hint="eastAsia"/>
          <w:sz w:val="26"/>
          <w:szCs w:val="26"/>
        </w:rPr>
        <w:t>盧映霞譯</w:t>
      </w:r>
      <w:r w:rsidRPr="00932B9B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：《澳門刑事訴訟法教程》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下</w:t>
      </w:r>
      <w:r w:rsidRPr="00932B9B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冊</w:t>
      </w:r>
      <w:r w:rsidRPr="00932B9B">
        <w:rPr>
          <w:rFonts w:ascii="Times New Roman" w:eastAsia="標楷體" w:hAnsi="Times New Roman" w:cs="Times New Roman"/>
          <w:sz w:val="26"/>
          <w:szCs w:val="26"/>
          <w:lang w:val="pt-PT"/>
        </w:rPr>
        <w:t>（</w:t>
      </w:r>
      <w:r w:rsidRPr="00932B9B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第</w:t>
      </w:r>
      <w:r w:rsidR="000C4193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三</w:t>
      </w:r>
      <w:r w:rsidRPr="00932B9B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版</w:t>
      </w:r>
      <w:r w:rsidR="000C4193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，修正及更新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）</w:t>
      </w:r>
      <w:proofErr w:type="gramStart"/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─</w:t>
      </w:r>
      <w:proofErr w:type="gramEnd"/>
      <w:r w:rsidRPr="00932B9B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中文版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，法律及司法培訓中心，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20</w:t>
      </w:r>
      <w:r w:rsidR="000C4193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2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0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年。</w:t>
      </w:r>
    </w:p>
    <w:p w:rsidR="00536371" w:rsidRPr="00EF359E" w:rsidRDefault="00536371" w:rsidP="00536371">
      <w:pPr>
        <w:pStyle w:val="a3"/>
        <w:numPr>
          <w:ilvl w:val="1"/>
          <w:numId w:val="2"/>
        </w:numPr>
        <w:spacing w:afterLines="50" w:after="180"/>
        <w:ind w:leftChars="0" w:left="567" w:hangingChars="218" w:hanging="567"/>
        <w:jc w:val="both"/>
        <w:rPr>
          <w:rFonts w:ascii="Times New Roman" w:eastAsia="標楷體" w:hAnsi="Times New Roman" w:cs="Times New Roman"/>
          <w:sz w:val="26"/>
          <w:szCs w:val="26"/>
          <w:lang w:val="pt-PT"/>
        </w:rPr>
      </w:pPr>
      <w:r w:rsidRPr="00EF359E">
        <w:rPr>
          <w:rFonts w:ascii="Times New Roman" w:eastAsia="標楷體" w:hAnsi="Times New Roman" w:cs="Times New Roman"/>
          <w:sz w:val="26"/>
          <w:szCs w:val="26"/>
          <w:lang w:val="pt-PT"/>
        </w:rPr>
        <w:t>Leal-Henriques</w:t>
      </w:r>
      <w:r w:rsidRPr="00EF359E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及</w:t>
      </w:r>
      <w:r w:rsidRPr="00EF359E">
        <w:rPr>
          <w:rFonts w:ascii="Times New Roman" w:eastAsia="標楷體" w:hAnsi="Times New Roman" w:cs="Times New Roman"/>
          <w:sz w:val="26"/>
          <w:szCs w:val="26"/>
          <w:lang w:val="pt-PT"/>
        </w:rPr>
        <w:t>Simas-Santos</w:t>
      </w:r>
      <w:r w:rsidRPr="00EF359E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：《</w:t>
      </w:r>
      <w:r w:rsidRPr="00EF359E">
        <w:rPr>
          <w:rFonts w:ascii="Times New Roman" w:eastAsia="標楷體" w:hAnsi="Times New Roman" w:cs="Times New Roman"/>
          <w:sz w:val="26"/>
          <w:szCs w:val="26"/>
          <w:lang w:val="pt-PT"/>
        </w:rPr>
        <w:t>CÓDIGO DE PROCESSO PENAL DE MACAU</w:t>
      </w:r>
      <w:r w:rsidRPr="00EF359E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》，</w:t>
      </w:r>
      <w:r w:rsidRPr="00EF359E">
        <w:rPr>
          <w:rFonts w:ascii="Times New Roman" w:eastAsia="標楷體" w:hAnsi="Times New Roman" w:cs="Times New Roman"/>
          <w:sz w:val="26"/>
          <w:szCs w:val="26"/>
          <w:lang w:val="pt-PT"/>
        </w:rPr>
        <w:t>MACAU</w:t>
      </w:r>
      <w:r w:rsidRPr="00EF359E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，</w:t>
      </w:r>
      <w:r w:rsidRPr="00EF359E">
        <w:rPr>
          <w:rFonts w:ascii="Times New Roman" w:eastAsia="標楷體" w:hAnsi="Times New Roman" w:cs="Times New Roman"/>
          <w:sz w:val="26"/>
          <w:szCs w:val="26"/>
          <w:lang w:val="pt-PT"/>
        </w:rPr>
        <w:t>1997</w:t>
      </w:r>
      <w:r w:rsidRPr="00EF359E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年。</w:t>
      </w:r>
    </w:p>
    <w:p w:rsidR="00536371" w:rsidRDefault="00536371" w:rsidP="00536371">
      <w:pPr>
        <w:pStyle w:val="a3"/>
        <w:numPr>
          <w:ilvl w:val="1"/>
          <w:numId w:val="2"/>
        </w:numPr>
        <w:spacing w:afterLines="50" w:after="180"/>
        <w:ind w:leftChars="0" w:left="567" w:hangingChars="218" w:hanging="567"/>
        <w:jc w:val="both"/>
        <w:rPr>
          <w:rFonts w:ascii="Times New Roman" w:eastAsia="標楷體" w:hAnsi="Times New Roman" w:cs="Times New Roman"/>
          <w:sz w:val="26"/>
          <w:szCs w:val="26"/>
          <w:lang w:val="pt-PT"/>
        </w:rPr>
      </w:pPr>
      <w:proofErr w:type="gramStart"/>
      <w:r w:rsidRPr="00E45517">
        <w:rPr>
          <w:rFonts w:ascii="Times New Roman" w:eastAsia="標楷體" w:hAnsi="Times New Roman" w:cs="Times New Roman"/>
          <w:sz w:val="26"/>
          <w:szCs w:val="26"/>
          <w:lang w:val="pt-PT"/>
        </w:rPr>
        <w:t xml:space="preserve">Claus </w:t>
      </w:r>
      <w:proofErr w:type="spellStart"/>
      <w:r w:rsidRPr="00E45517">
        <w:rPr>
          <w:rFonts w:ascii="Times New Roman" w:eastAsia="標楷體" w:hAnsi="Times New Roman" w:cs="Times New Roman"/>
          <w:sz w:val="26"/>
          <w:szCs w:val="26"/>
          <w:lang w:val="pt-PT"/>
        </w:rPr>
        <w:t>Roxin</w:t>
      </w:r>
      <w:proofErr w:type="spellEnd"/>
      <w:r w:rsidRPr="00E45517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著</w:t>
      </w:r>
      <w:proofErr w:type="gramEnd"/>
      <w:r w:rsidRPr="00E45517"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，吳麗琪譯：《德國刑事訴訟法》，中國法律出版社</w:t>
      </w:r>
      <w:r>
        <w:rPr>
          <w:rFonts w:ascii="Times New Roman" w:eastAsia="標楷體" w:hAnsi="Times New Roman" w:cs="Times New Roman" w:hint="eastAsia"/>
          <w:sz w:val="26"/>
          <w:szCs w:val="26"/>
          <w:lang w:val="pt-PT"/>
        </w:rPr>
        <w:t>。</w:t>
      </w:r>
    </w:p>
    <w:p w:rsidR="00536371" w:rsidRPr="00C3286A" w:rsidRDefault="00536371" w:rsidP="00C3286A">
      <w:pPr>
        <w:spacing w:afterLines="50" w:after="180"/>
        <w:jc w:val="both"/>
        <w:rPr>
          <w:rFonts w:ascii="Times New Roman" w:eastAsia="標楷體" w:hAnsi="Times New Roman" w:cs="Times New Roman" w:hint="eastAsia"/>
          <w:sz w:val="26"/>
          <w:szCs w:val="26"/>
          <w:lang w:val="pt-PT"/>
        </w:rPr>
      </w:pPr>
    </w:p>
    <w:p w:rsidR="00536371" w:rsidRPr="002B4E76" w:rsidRDefault="00536371" w:rsidP="00536371">
      <w:pPr>
        <w:spacing w:afterLines="50" w:after="180"/>
        <w:rPr>
          <w:lang w:val="pt-PT"/>
        </w:rPr>
      </w:pPr>
    </w:p>
    <w:p w:rsidR="00536371" w:rsidRDefault="00536371" w:rsidP="00536371"/>
    <w:p w:rsidR="000A27A6" w:rsidRPr="00536371" w:rsidRDefault="000A27A6"/>
    <w:sectPr w:rsidR="000A27A6" w:rsidRPr="00536371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2E9" w:rsidRDefault="00F732E9" w:rsidP="00536371">
      <w:r>
        <w:separator/>
      </w:r>
    </w:p>
  </w:endnote>
  <w:endnote w:type="continuationSeparator" w:id="0">
    <w:p w:rsidR="00F732E9" w:rsidRDefault="00F732E9" w:rsidP="0053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2939995"/>
      <w:docPartObj>
        <w:docPartGallery w:val="Page Numbers (Bottom of Page)"/>
        <w:docPartUnique/>
      </w:docPartObj>
    </w:sdtPr>
    <w:sdtEndPr/>
    <w:sdtContent>
      <w:p w:rsidR="00F263CB" w:rsidRDefault="00F732E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37D19">
          <w:rPr>
            <w:noProof/>
            <w:lang w:val="zh-TW"/>
          </w:rPr>
          <w:t>7</w:t>
        </w:r>
        <w:r>
          <w:fldChar w:fldCharType="end"/>
        </w:r>
      </w:p>
    </w:sdtContent>
  </w:sdt>
  <w:p w:rsidR="00F263CB" w:rsidRDefault="00F732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2E9" w:rsidRDefault="00F732E9" w:rsidP="00536371">
      <w:r>
        <w:separator/>
      </w:r>
    </w:p>
  </w:footnote>
  <w:footnote w:type="continuationSeparator" w:id="0">
    <w:p w:rsidR="00F732E9" w:rsidRDefault="00F732E9" w:rsidP="00536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3CB" w:rsidRPr="00FC7C8C" w:rsidRDefault="00F732E9">
    <w:pPr>
      <w:pStyle w:val="a4"/>
      <w:rPr>
        <w:rFonts w:ascii="Times New Roman" w:eastAsia="標楷體" w:hAnsi="Times New Roman" w:cs="Times New Roman"/>
      </w:rPr>
    </w:pPr>
    <w:r w:rsidRPr="00FC7C8C">
      <w:rPr>
        <w:rFonts w:ascii="Times New Roman" w:eastAsia="標楷體" w:hAnsi="Times New Roman" w:cs="Times New Roman"/>
      </w:rPr>
      <w:t>20</w:t>
    </w:r>
    <w:r>
      <w:rPr>
        <w:rFonts w:ascii="Times New Roman" w:eastAsia="標楷體" w:hAnsi="Times New Roman" w:cs="Times New Roman" w:hint="eastAsia"/>
      </w:rPr>
      <w:t>2</w:t>
    </w:r>
    <w:r w:rsidR="00536371">
      <w:rPr>
        <w:rFonts w:ascii="Times New Roman" w:eastAsia="標楷體" w:hAnsi="Times New Roman" w:cs="Times New Roman"/>
      </w:rPr>
      <w:t>2</w:t>
    </w:r>
    <w:r>
      <w:rPr>
        <w:rFonts w:ascii="Times New Roman" w:eastAsia="標楷體" w:hAnsi="Times New Roman" w:cs="Times New Roman"/>
      </w:rPr>
      <w:t>/202</w:t>
    </w:r>
    <w:r w:rsidR="00536371">
      <w:rPr>
        <w:rFonts w:ascii="Times New Roman" w:eastAsia="標楷體" w:hAnsi="Times New Roman" w:cs="Times New Roman"/>
      </w:rPr>
      <w:t>3</w:t>
    </w:r>
    <w:r w:rsidRPr="00FC7C8C">
      <w:rPr>
        <w:rFonts w:ascii="Times New Roman" w:eastAsia="標楷體" w:hAnsi="Times New Roman" w:cs="Times New Roman"/>
      </w:rPr>
      <w:t>年度澳門大學法學院中文法學士課程</w:t>
    </w:r>
  </w:p>
  <w:p w:rsidR="00F263CB" w:rsidRDefault="00F732E9">
    <w:pPr>
      <w:pStyle w:val="a4"/>
      <w:rPr>
        <w:rFonts w:ascii="Times New Roman" w:eastAsia="標楷體" w:hAnsi="Times New Roman" w:cs="Times New Roman"/>
      </w:rPr>
    </w:pPr>
    <w:r w:rsidRPr="00FC7C8C">
      <w:rPr>
        <w:rFonts w:ascii="Times New Roman" w:eastAsia="標楷體" w:hAnsi="Times New Roman" w:cs="Times New Roman"/>
      </w:rPr>
      <w:t>刑事訴訟法</w:t>
    </w:r>
    <w:r>
      <w:rPr>
        <w:rFonts w:ascii="Times New Roman" w:eastAsia="標楷體" w:hAnsi="Times New Roman" w:cs="Times New Roman" w:hint="eastAsia"/>
      </w:rPr>
      <w:t xml:space="preserve">  </w:t>
    </w:r>
    <w:r>
      <w:rPr>
        <w:rFonts w:ascii="Times New Roman" w:eastAsia="標楷體" w:hAnsi="Times New Roman" w:cs="Times New Roman" w:hint="eastAsia"/>
      </w:rPr>
      <w:t>授課內容摘要</w:t>
    </w:r>
  </w:p>
  <w:p w:rsidR="00F263CB" w:rsidRPr="00FC7C8C" w:rsidRDefault="00F732E9">
    <w:pPr>
      <w:pStyle w:val="a4"/>
      <w:rPr>
        <w:rFonts w:ascii="Times New Roman" w:eastAsia="標楷體" w:hAnsi="Times New Roman" w:cs="Times New Roman"/>
      </w:rPr>
    </w:pPr>
    <w:r>
      <w:rPr>
        <w:rFonts w:ascii="Times New Roman" w:eastAsia="標楷體" w:hAnsi="Times New Roman" w:cs="Times New Roman" w:hint="eastAsia"/>
      </w:rPr>
      <w:t>導師：張穎彤</w:t>
    </w:r>
  </w:p>
  <w:p w:rsidR="00F263CB" w:rsidRDefault="00F732E9">
    <w:pPr>
      <w:pStyle w:val="a4"/>
      <w:rPr>
        <w:rFonts w:ascii="Times New Roman" w:eastAsia="標楷體" w:hAnsi="Times New Roman" w:cs="Times New Roman"/>
      </w:rPr>
    </w:pPr>
  </w:p>
  <w:p w:rsidR="00F263CB" w:rsidRPr="00FC7C8C" w:rsidRDefault="00F732E9">
    <w:pPr>
      <w:pStyle w:val="a4"/>
      <w:rPr>
        <w:rFonts w:ascii="Times New Roman" w:eastAsia="標楷體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3903"/>
    <w:multiLevelType w:val="hybridMultilevel"/>
    <w:tmpl w:val="F432A84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C476FA"/>
    <w:multiLevelType w:val="hybridMultilevel"/>
    <w:tmpl w:val="5A6C395E"/>
    <w:lvl w:ilvl="0" w:tplc="530450E4">
      <w:start w:val="1"/>
      <w:numFmt w:val="taiwaneseCountingThousand"/>
      <w:lvlText w:val="第%1章"/>
      <w:lvlJc w:val="left"/>
      <w:pPr>
        <w:ind w:left="1440" w:hanging="1440"/>
      </w:pPr>
      <w:rPr>
        <w:rFonts w:hint="default"/>
      </w:rPr>
    </w:lvl>
    <w:lvl w:ilvl="1" w:tplc="96B4E25A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E2A4524C">
      <w:start w:val="1"/>
      <w:numFmt w:val="decimal"/>
      <w:lvlText w:val="%3."/>
      <w:lvlJc w:val="left"/>
      <w:pPr>
        <w:ind w:left="1320" w:hanging="360"/>
      </w:pPr>
      <w:rPr>
        <w:rFonts w:ascii="Times New Roman" w:eastAsia="標楷體" w:hAnsi="Times New Roman" w:cs="Times New Roman"/>
      </w:rPr>
    </w:lvl>
    <w:lvl w:ilvl="3" w:tplc="755E020A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1">
      <w:start w:val="1"/>
      <w:numFmt w:val="upperLetter"/>
      <w:lvlText w:val="%5."/>
      <w:lvlJc w:val="left"/>
      <w:pPr>
        <w:ind w:left="2280" w:hanging="360"/>
      </w:pPr>
    </w:lvl>
    <w:lvl w:ilvl="5" w:tplc="BBFC4108">
      <w:start w:val="1"/>
      <w:numFmt w:val="lowerRoman"/>
      <w:lvlText w:val="%6."/>
      <w:lvlJc w:val="left"/>
      <w:pPr>
        <w:ind w:left="2760" w:hanging="360"/>
      </w:pPr>
      <w:rPr>
        <w:rFonts w:hint="default"/>
      </w:rPr>
    </w:lvl>
    <w:lvl w:ilvl="6" w:tplc="20EA0C42">
      <w:start w:val="1"/>
      <w:numFmt w:val="decimal"/>
      <w:lvlText w:val="%7"/>
      <w:lvlJc w:val="left"/>
      <w:pPr>
        <w:ind w:left="3240" w:hanging="36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235D1E"/>
    <w:multiLevelType w:val="hybridMultilevel"/>
    <w:tmpl w:val="0B483F30"/>
    <w:lvl w:ilvl="0" w:tplc="68B08A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78C6A5D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B47FC5"/>
    <w:multiLevelType w:val="hybridMultilevel"/>
    <w:tmpl w:val="114879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2957EB"/>
    <w:multiLevelType w:val="hybridMultilevel"/>
    <w:tmpl w:val="53C4EFEA"/>
    <w:lvl w:ilvl="0" w:tplc="530450E4">
      <w:start w:val="1"/>
      <w:numFmt w:val="taiwaneseCountingThousand"/>
      <w:lvlText w:val="第%1章"/>
      <w:lvlJc w:val="left"/>
      <w:pPr>
        <w:ind w:left="1440" w:hanging="1440"/>
      </w:pPr>
      <w:rPr>
        <w:rFonts w:hint="default"/>
      </w:rPr>
    </w:lvl>
    <w:lvl w:ilvl="1" w:tplc="96B4E25A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9000F">
      <w:start w:val="1"/>
      <w:numFmt w:val="decimal"/>
      <w:lvlText w:val="%3."/>
      <w:lvlJc w:val="left"/>
      <w:pPr>
        <w:ind w:left="1320" w:hanging="360"/>
      </w:pPr>
    </w:lvl>
    <w:lvl w:ilvl="3" w:tplc="04090011">
      <w:start w:val="1"/>
      <w:numFmt w:val="upperLetter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3E0252"/>
    <w:multiLevelType w:val="hybridMultilevel"/>
    <w:tmpl w:val="887809AC"/>
    <w:lvl w:ilvl="0" w:tplc="0409000B">
      <w:start w:val="1"/>
      <w:numFmt w:val="bullet"/>
      <w:lvlText w:val="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6" w15:restartNumberingAfterBreak="0">
    <w:nsid w:val="4C505CC1"/>
    <w:multiLevelType w:val="hybridMultilevel"/>
    <w:tmpl w:val="519E68FA"/>
    <w:lvl w:ilvl="0" w:tplc="0409000B">
      <w:start w:val="1"/>
      <w:numFmt w:val="bullet"/>
      <w:lvlText w:val="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71"/>
    <w:rsid w:val="000A27A6"/>
    <w:rsid w:val="000C4193"/>
    <w:rsid w:val="00536371"/>
    <w:rsid w:val="006B3A2B"/>
    <w:rsid w:val="00726C6C"/>
    <w:rsid w:val="00AA0A12"/>
    <w:rsid w:val="00C3286A"/>
    <w:rsid w:val="00F7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981CF"/>
  <w15:chartTrackingRefBased/>
  <w15:docId w15:val="{F6F96AF6-1E35-4E2C-B7EF-DB7FF22F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63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37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36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63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6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63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Cheong Weng Tong</dc:creator>
  <cp:keywords/>
  <dc:description/>
  <cp:lastModifiedBy>Cheong Weng Tong</cp:lastModifiedBy>
  <cp:revision>4</cp:revision>
  <dcterms:created xsi:type="dcterms:W3CDTF">2022-08-22T07:55:00Z</dcterms:created>
  <dcterms:modified xsi:type="dcterms:W3CDTF">2022-08-22T10:06:00Z</dcterms:modified>
</cp:coreProperties>
</file>