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澳门特别行政区基本法课程教学计划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第一章   基本法学研究的对象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一、“一国两制”的理论和实践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1，“一国两制”的内涵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2，“一国两制”的形成和发展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3，“一国两制”是基本法制定的基础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二、基本法的理论和实践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1，基本法的立法基础、特点和原则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2，基本法的内容和确立的制度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3，基本法的作用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4，基本法的相关理论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三、基本法学研究的意义 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1，依法治澳的需要（中央和特区依法治澳）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2，澳人治澳的需要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3，国家统一和稳定发展的需要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4，研究、完善和发展澳门法律制度的需要</w:t>
      </w:r>
    </w:p>
    <w:p>
      <w:pPr>
        <w:pStyle w:val="style0"/>
        <w:spacing w:lineRule="auto" w:line="360"/>
        <w:rPr>
          <w:rFonts w:ascii="宋体" w:hAnsi="宋体"/>
        </w:rPr>
      </w:pPr>
    </w:p>
    <w:p>
      <w:pPr>
        <w:pStyle w:val="style0"/>
        <w:spacing w:lineRule="auto" w:line="360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第二章  基本法的概念、地位、特点和作用</w:t>
      </w:r>
    </w:p>
    <w:p>
      <w:pPr>
        <w:pStyle w:val="style0"/>
        <w:spacing w:lineRule="auto" w:line="360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一、 基本法的概念、法律地位、效力、及法律特性、法律规范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二、 基本法与“一国两制”的关系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三、 基本法与宪法的关系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四、 基本法与国家其他法律及与特别行政区其他法律的关系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第三章  基本法的制定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一、 基本法制定的过程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二、 基本法制定的特点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1，体现“一国两制”的方针政策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2，从澳门的实际出发，符合澳门的实际情况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3，充分发扬民主，集思广益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4，严谨科学的法律精神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第四章  特别行政区的性质、特点和基本制度</w:t>
      </w:r>
    </w:p>
    <w:p>
      <w:pPr>
        <w:pStyle w:val="style0"/>
        <w:spacing w:lineRule="auto" w:line="360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一、 特别行政区的性质和地位 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1，从国家的整体与部分关系分析，特别行政区不是独立的政治实体、是地方行政区域，是国家不可分离的一部分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2，与联邦制成员国和单一制行政区划的比较分析（区划与组合不同、分级管理与统一施政不同）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3，特别行政区有义务自行立法禁止分裂国家等行为）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二、 特别行政区实行高度自治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1，高度自治的概念和特点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2，中央授权高度自治（从权力的关系分析，自治权的来源和内容，授权与被授权的关系，中央授权的形式特点、方式特点、内容特点）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三、特别行政区实行“澳人治澳”（特点）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1，澳人治澳的含义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2，澳人治澳需以爱国爱澳者为主体</w:t>
      </w:r>
    </w:p>
    <w:p>
      <w:pPr>
        <w:pStyle w:val="style0"/>
        <w:spacing w:lineRule="auto" w:line="360"/>
        <w:ind w:left="42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四、特别行政区保持原有的资本主义制度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1，原有资本主义制度的概念，变与不变的关系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2，原有制度的主要内容（政治制度、经济制度、法律制度、基本权利和自由的制度，与内地制度的比较分析）</w:t>
      </w:r>
    </w:p>
    <w:p>
      <w:pPr>
        <w:pStyle w:val="style0"/>
        <w:spacing w:lineRule="auto" w:line="360"/>
        <w:ind w:left="432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第五章      中央与特别行政区的关系   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一、中央与特别行政区关系的性质是领导与被领导的关系（从中央与地方的行政从属关系分析，特别行政区是直辖于中央政府）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1，中央与地方关系体现“一国两制”的特点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2，权力的分类（中央掌握、中央授出、中央限制、特区全权行使、特区部分享有）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二、中央政府行使国家的主权（主权概念、对内对外）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1，外交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2，国防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3，任免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4，监督（法律备案等）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5，决定（全国性法律适用、宣布紧急状态、国际条约适用等）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6，发出指示（证明文件、指令等）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7，批准（军用船舶进入澳门、外国领事机构的设立等）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三、特别行政区政府行使自治权 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1，行政管理权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2，立法权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3，司法权和终审权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4，对外事务权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四、中央可授予特区其他权力，并保证特区高度自治，（不存在剩余权力的问题）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五、行使权力的原则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1，依法行使权力与履行义务的原则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2，维护国家统一和特区稳定、发展、繁荣的原则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3，咨询协商原则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4，不干预与监督原则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第六章    居民的基本权利和义务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基本权利的概述（权利和义务的概念、权利和义务的关系）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numPr>
          <w:ilvl w:val="0"/>
          <w:numId w:val="2"/>
        </w:numPr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居民的基本权利、自由和义务的特点 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1，体现联合声明的规定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2，基本法为依归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3，权利主体的特点（多样性）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4，权利内容的特点（广泛性）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5，义务的特点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numPr>
          <w:ilvl w:val="0"/>
          <w:numId w:val="2"/>
        </w:numPr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居民的含义和构成（永久与非永久、中国籍与非中国籍、居民与其他人）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numPr>
          <w:ilvl w:val="0"/>
          <w:numId w:val="2"/>
        </w:numPr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基本权利和自由的内容 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1，平等权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2，财产权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3，选举权与被选举权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4，政治自由权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5，参加国家事务管理权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6，人身自由权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7，人格尊严和隐私权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8，住宅不受侵犯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9，通讯自由和通讯秘密权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10，迁徒自由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11，信仰自由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12，择业和工作自由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13，诉诸法律权（罪行法定、无罪推定）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14，教育和学术等自由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15，婚姻自由及其他权利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16，享受社会福利的权利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numPr>
          <w:ilvl w:val="0"/>
          <w:numId w:val="2"/>
        </w:numPr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葡后裔居民的权益受保护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两个国际人权公约、国际劳工公约的适用问题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numPr>
          <w:ilvl w:val="0"/>
          <w:numId w:val="2"/>
        </w:numPr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基本义务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numPr>
          <w:ilvl w:val="0"/>
          <w:numId w:val="2"/>
        </w:numPr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基本权利和自由的保障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1，基本法的保障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2，澳门法律的保障</w:t>
      </w:r>
    </w:p>
    <w:p>
      <w:pPr>
        <w:pStyle w:val="style0"/>
        <w:spacing w:lineRule="auto" w:line="360"/>
        <w:ind w:left="324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  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  <w:bCs/>
        </w:rPr>
        <w:t xml:space="preserve">第七章  </w:t>
      </w:r>
      <w:r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</w:rPr>
        <w:t xml:space="preserve">政治体制     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一、特区政治体制的特点  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1，体现“一国两制”（体现主权、体现澳人治澳、体现高度自治）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2，以行政为主导，行政、立法、司法既分工又合作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3，循序渐进发展民主制度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4，兼顾各阶层的利益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二、特别行政区机构的组织和活动原则  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1，个人负责与集体决策结合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2，权利和职责的统一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3，依法活动原则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4，精简效率、勤政廉洁的原则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三、行政长官  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1，行政长官的地位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2，行政长官的资格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3，行政长官的任免和辞职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4，行政长官的职权和义务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5，行政长官与立法会的关系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6，行政长官与行政会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7，行政长官与廉政公署和审计署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四、行政机关  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1，行政机关的组成和特点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2，主要官员的资格和任免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3，行政机关的职权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4，行政机关与立法会的关系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5，行政机关的咨询组织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6，公务员  公务人员的概念 公务人员的资格 公务人员的留用 和福利待遇 外籍公务人员的聘用  公务人员的制度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五、立法会 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1，立法会的性质和地位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2，立法会的产生和任期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3，立法会的职权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4，立法会的议员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5，组织和运作（会议）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六、司法机关  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1，法院和检察院的设置和组织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2，法院的管辖和审判工作</w:t>
      </w:r>
    </w:p>
    <w:p>
      <w:pPr>
        <w:pStyle w:val="style0"/>
        <w:spacing w:lineRule="auto" w:line="360"/>
        <w:ind w:left="324"/>
        <w:rPr>
          <w:rFonts w:ascii="宋体" w:hAnsi="宋体" w:hint="eastAsia"/>
        </w:rPr>
      </w:pPr>
      <w:r>
        <w:rPr>
          <w:rFonts w:ascii="宋体" w:hAnsi="宋体" w:hint="eastAsia"/>
        </w:rPr>
        <w:t>3，法官和检察官的资格和任免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第八章    基本法的解释和修改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numPr>
          <w:ilvl w:val="0"/>
          <w:numId w:val="1"/>
        </w:numPr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解释权属于人大常委会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numPr>
          <w:ilvl w:val="0"/>
          <w:numId w:val="3"/>
        </w:numPr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人大常委会授权终审法院对基本法的解释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numPr>
          <w:ilvl w:val="0"/>
          <w:numId w:val="3"/>
        </w:numPr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修改权属于全国人大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numPr>
          <w:ilvl w:val="0"/>
          <w:numId w:val="3"/>
        </w:numPr>
        <w:spacing w:lineRule="auto" w:line="360"/>
        <w:rPr>
          <w:rFonts w:ascii="宋体" w:hAnsi="宋体"/>
          <w:sz w:val="28"/>
        </w:rPr>
      </w:pPr>
      <w:r>
        <w:rPr>
          <w:rFonts w:ascii="宋体" w:hAnsi="宋体" w:hint="eastAsia"/>
        </w:rPr>
        <w:t>终审权与违反基本法的审查权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  <w:b/>
        </w:rPr>
        <w:t>考试评分</w:t>
      </w:r>
      <w:r>
        <w:rPr>
          <w:rFonts w:ascii="宋体" w:hAnsi="宋体" w:hint="eastAsia"/>
        </w:rPr>
        <w:t>：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/>
        </w:rPr>
      </w:pPr>
      <w:r>
        <w:rPr>
          <w:rFonts w:ascii="宋体" w:hAnsi="宋体" w:hint="eastAsia"/>
        </w:rPr>
        <w:t>以书面考试方式进行。考试包括本科目必须掌握的基本概念、基本理论、案例分析、及理论联系实际分析具体问题，发表个人见解四个部分。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  <w:b/>
        </w:rPr>
        <w:t>教材</w:t>
      </w:r>
      <w:r>
        <w:rPr>
          <w:rFonts w:ascii="宋体" w:hAnsi="宋体" w:hint="eastAsia"/>
        </w:rPr>
        <w:t>：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澳门特别行政区基本法讲义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  <w:b/>
        </w:rPr>
        <w:t>参考书</w:t>
      </w:r>
      <w:r>
        <w:rPr>
          <w:rFonts w:ascii="宋体" w:hAnsi="宋体" w:hint="eastAsia"/>
        </w:rPr>
        <w:t>：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1，</w:t>
      </w:r>
      <w:r>
        <w:rPr>
          <w:rFonts w:ascii="宋体" w:hAnsi="宋体"/>
        </w:rPr>
        <w:t>《</w:t>
      </w:r>
      <w:r>
        <w:rPr>
          <w:rFonts w:ascii="宋体" w:hAnsi="宋体" w:hint="eastAsia"/>
        </w:rPr>
        <w:t>澳门特别行政区基本法新论》，骆伟建著，社会科学文献出版社，2012年5月。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eastAsia"/>
        </w:rPr>
        <w:t>2，《澳门特别行政区</w:t>
      </w:r>
      <w:r>
        <w:rPr>
          <w:rFonts w:ascii="宋体" w:hAnsi="宋体" w:hint="eastAsia"/>
          <w:lang w:val="en-US" w:eastAsia="zh-CN"/>
        </w:rPr>
        <w:t>解析——立法背景和立法原单的探究</w:t>
      </w:r>
      <w:r>
        <w:rPr>
          <w:rFonts w:ascii="宋体" w:hAnsi="宋体" w:hint="eastAsia"/>
        </w:rPr>
        <w:t>》，</w:t>
      </w:r>
      <w:r>
        <w:rPr>
          <w:rFonts w:ascii="宋体" w:hAnsi="宋体" w:hint="eastAsia"/>
          <w:lang w:val="en-US" w:eastAsia="zh-CN"/>
        </w:rPr>
        <w:t>骆伟建、江华、赵英杰著，</w:t>
      </w:r>
      <w:r>
        <w:rPr>
          <w:rFonts w:ascii="宋体" w:hAnsi="宋体" w:hint="eastAsia"/>
        </w:rPr>
        <w:t>社会科学文献出版社，20</w:t>
      </w:r>
      <w:r>
        <w:rPr>
          <w:rFonts w:ascii="宋体" w:hAnsi="宋体" w:hint="eastAsia"/>
          <w:lang w:val="en-US" w:eastAsia="zh-CN"/>
        </w:rPr>
        <w:t>20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lang w:val="en-US" w:eastAsia="zh-CN"/>
        </w:rPr>
        <w:t>10</w:t>
      </w:r>
      <w:bookmarkStart w:id="0" w:name="_GoBack"/>
      <w:bookmarkEnd w:id="0"/>
      <w:r>
        <w:rPr>
          <w:rFonts w:ascii="宋体" w:hAnsi="宋体" w:hint="eastAsia"/>
        </w:rPr>
        <w:t>月。</w:t>
      </w: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default"/>
          <w:lang w:val="en-US"/>
        </w:rPr>
        <w:t>3，《概念  逻辑  命题  中国特别行政区理论体系研究》，骆伟建  赵英杰  王荣国著，三联书店（香港）有限公司出版，2023年9月。</w:t>
      </w:r>
    </w:p>
    <w:p>
      <w:pPr>
        <w:pStyle w:val="style0"/>
        <w:spacing w:lineRule="auto" w:line="360"/>
        <w:rPr>
          <w:rFonts w:ascii="宋体" w:hAnsi="宋体" w:hint="eastAsia"/>
        </w:rPr>
      </w:pPr>
    </w:p>
    <w:p>
      <w:pPr>
        <w:pStyle w:val="style0"/>
        <w:spacing w:lineRule="auto" w:line="360"/>
        <w:rPr>
          <w:rFonts w:ascii="宋体" w:hAnsi="宋体" w:hint="eastAsia"/>
        </w:rPr>
      </w:pPr>
      <w:r>
        <w:rPr>
          <w:rFonts w:ascii="宋体" w:hAnsi="宋体" w:hint="default"/>
          <w:lang w:val="en-US"/>
        </w:rPr>
        <w:t>建议学生购买第2和第3两本参考书，对学习和考试有帮助。</w:t>
      </w:r>
    </w:p>
    <w:p>
      <w:pPr>
        <w:pStyle w:val="style0"/>
        <w:spacing w:lineRule="auto" w:line="360"/>
        <w:rPr>
          <w:rFonts w:ascii="宋体" w:hAnsi="宋体" w:hint="eastAsia"/>
          <w:sz w:val="28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"/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新細明體">
    <w:altName w:val="新細明體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2B047DF"/>
    <w:lvl w:ilvl="0">
      <w:start w:val="2"/>
      <w:numFmt w:val="japaneseCounting"/>
      <w:lvlText w:val="%1、"/>
      <w:lvlJc w:val="left"/>
      <w:pPr>
        <w:tabs>
          <w:tab w:val="left" w:leader="none" w:pos="420"/>
        </w:tabs>
        <w:ind w:left="420" w:hanging="420"/>
      </w:pPr>
      <w:rPr>
        <w:rFonts w:hint="eastAsia"/>
      </w:rPr>
    </w:lvl>
  </w:abstractNum>
  <w:abstractNum w:abstractNumId="1">
    <w:nsid w:val="00000001"/>
    <w:multiLevelType w:val="singleLevel"/>
    <w:tmpl w:val="53AF1FB0"/>
    <w:lvl w:ilvl="0">
      <w:start w:val="1"/>
      <w:numFmt w:val="none"/>
      <w:lvlText w:val="一、"/>
      <w:lvlJc w:val="left"/>
      <w:pPr>
        <w:tabs>
          <w:tab w:val="left" w:leader="none" w:pos="420"/>
        </w:tabs>
        <w:ind w:left="420" w:hanging="420"/>
      </w:pPr>
      <w:rPr>
        <w:rFonts w:hint="eastAsia"/>
      </w:rPr>
    </w:lvl>
  </w:abstractNum>
  <w:abstractNum w:abstractNumId="2">
    <w:nsid w:val="00000002"/>
    <w:multiLevelType w:val="singleLevel"/>
    <w:tmpl w:val="610009EE"/>
    <w:lvl w:ilvl="0">
      <w:start w:val="2"/>
      <w:numFmt w:val="japaneseCounting"/>
      <w:lvlText w:val="%1、"/>
      <w:lvlJc w:val="left"/>
      <w:pPr>
        <w:tabs>
          <w:tab w:val="left" w:leader="none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7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新細明體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0" w:lineRule="auto" w:line="240"/>
    </w:pPr>
    <w:rPr>
      <w:rFonts w:ascii="Times New Roman" w:cs="Times New Roman" w:eastAsia="宋体" w:hAnsi="Times New Roman"/>
      <w:sz w:val="24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40">
    <w:name w:val="line number"/>
    <w:basedOn w:val="style65"/>
    <w:next w:val="style40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2285</Words>
  <Pages>7</Pages>
  <Characters>2302</Characters>
  <Application>WPS Office</Application>
  <DocSecurity>0</DocSecurity>
  <Paragraphs>198</Paragraphs>
  <ScaleCrop>false</ScaleCrop>
  <Company>University of Macau</Company>
  <LinksUpToDate>false</LinksUpToDate>
  <CharactersWithSpaces>2423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2015-08-24T04:13:00Z</dcterms:created>
  <dc:creator>UM</dc:creator>
  <lastModifiedBy>BAH3-W59</lastModifiedBy>
  <dcterms:modified xsi:type="dcterms:W3CDTF">2023-12-21T02:54:07Z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c1ef2a6a5cfc4533816560a7f6ad5028_23</vt:lpwstr>
  </property>
</Properties>
</file>