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4" w:rsidRPr="00F20938" w:rsidRDefault="00176424" w:rsidP="00176424">
      <w:pPr>
        <w:jc w:val="center"/>
        <w:rPr>
          <w:rFonts w:ascii="Times New Roman" w:eastAsia="標楷體" w:hAnsi="Times New Roman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20938">
        <w:rPr>
          <w:rFonts w:ascii="Times New Roman" w:eastAsia="標楷體" w:hAnsi="Times New Roman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刑事訴訟法</w:t>
      </w:r>
      <w:r w:rsidRPr="00F20938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</w:p>
    <w:p w:rsidR="00176424" w:rsidRDefault="00176424" w:rsidP="0017642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sz w:val="32"/>
          <w:szCs w:val="32"/>
        </w:rPr>
        <w:t>【授課內容大綱】</w:t>
      </w:r>
    </w:p>
    <w:p w:rsidR="00176424" w:rsidRPr="00F20938" w:rsidRDefault="00176424" w:rsidP="0017642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刑事訴訟法的定位及目的</w:t>
      </w:r>
    </w:p>
    <w:p w:rsidR="00176424" w:rsidRPr="00245C6F" w:rsidRDefault="00176424" w:rsidP="00176424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刑事訴訟法的定位</w:t>
      </w:r>
    </w:p>
    <w:p w:rsidR="00176424" w:rsidRPr="00F20938" w:rsidRDefault="00176424" w:rsidP="00176424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廣義刑法的內容</w:t>
      </w:r>
    </w:p>
    <w:p w:rsidR="00176424" w:rsidRPr="00F20938" w:rsidRDefault="00176424" w:rsidP="00176424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刑法（狹義）與刑事訴訟法的關係</w:t>
      </w:r>
    </w:p>
    <w:p w:rsidR="00176424" w:rsidRPr="00245C6F" w:rsidRDefault="00176424" w:rsidP="00176424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刑事訴訟法的目的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查明事實真相和</w:t>
      </w:r>
      <w:proofErr w:type="gramStart"/>
      <w:r w:rsidRPr="00F20938">
        <w:rPr>
          <w:rFonts w:ascii="Times New Roman" w:eastAsia="標楷體" w:hAnsi="Times New Roman" w:cs="Times New Roman"/>
          <w:sz w:val="26"/>
          <w:szCs w:val="26"/>
        </w:rPr>
        <w:t>藉此</w:t>
      </w:r>
      <w:proofErr w:type="gramEnd"/>
      <w:r w:rsidRPr="00F20938">
        <w:rPr>
          <w:rFonts w:ascii="Times New Roman" w:eastAsia="標楷體" w:hAnsi="Times New Roman" w:cs="Times New Roman"/>
          <w:sz w:val="26"/>
          <w:szCs w:val="26"/>
        </w:rPr>
        <w:t>實現公正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保障基本權利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重建法律上的安寜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尋求實現訴訟中各利益的和諧共存</w:t>
      </w:r>
    </w:p>
    <w:p w:rsidR="00176424" w:rsidRPr="00F20938" w:rsidRDefault="00176424" w:rsidP="00176424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刑事訴訟在不同時空的某些立法原則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彈劾主義</w:t>
      </w:r>
      <w:proofErr w:type="gramStart"/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與糾問主義</w:t>
      </w:r>
      <w:proofErr w:type="gramEnd"/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國家追訴主義、被害人追訴主義及一般追訴主義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勵行主義與便宜主義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當事人進行主義與</w:t>
      </w: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職</w:t>
      </w: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權進行主義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實質真實發現主義與形式真實發現主義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直接審理主義與間接審理主義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言詞審理主義與書面審理主義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法官審理主義與陪審主義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自由心證主義與法定證據主義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審判公開主義與審判秘密主義</w:t>
      </w:r>
    </w:p>
    <w:p w:rsidR="00176424" w:rsidRPr="00F20938" w:rsidRDefault="00176424" w:rsidP="00176424">
      <w:pPr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刑事訴訟程序的一般原則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關於促進或推進刑事訴訟程序的原則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職權原則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合法性原則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審檢分立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或控訴原則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關於進行刑事訴訟程序的原則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調查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辯論原則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充足原則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集中原則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密集原則）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快捷原則及訴訟經濟原則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*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關於證據的原則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調查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原則或實質真相原則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自由心證原則或自由評價證據原則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罪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疑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從無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從輕）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原則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：存疑無罪原則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疑點利益歸於被告原則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關於形式的原則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公開原則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口頭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言詞辯論）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原則及直接原則</w:t>
      </w:r>
    </w:p>
    <w:p w:rsidR="00176424" w:rsidRPr="00F20938" w:rsidRDefault="00176424" w:rsidP="00176424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訴訟主體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訴訟主體與訴訟參與人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法院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職能及特徵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lastRenderedPageBreak/>
        <w:t>自然法官原則或法定法官原則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法官獨立原則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在澳門特區具刑事管轄權的法院</w:t>
      </w:r>
    </w:p>
    <w:p w:rsidR="00176424" w:rsidRPr="00F20938" w:rsidRDefault="00176424" w:rsidP="00176424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刑事起訴法庭</w:t>
      </w:r>
    </w:p>
    <w:p w:rsidR="00176424" w:rsidRPr="00F20938" w:rsidRDefault="00176424" w:rsidP="00176424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初級法院刑事法庭</w:t>
      </w:r>
    </w:p>
    <w:p w:rsidR="00176424" w:rsidRPr="00F20938" w:rsidRDefault="00176424" w:rsidP="00176424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中級法院</w:t>
      </w:r>
    </w:p>
    <w:p w:rsidR="00176424" w:rsidRPr="00F20938" w:rsidRDefault="00176424" w:rsidP="00176424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終審法院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合議庭管轄權與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獨任庭管轄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權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牽連管轄權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無管轄權的宣告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管轄權的衝突</w:t>
      </w:r>
    </w:p>
    <w:p w:rsidR="00176424" w:rsidRPr="00F20938" w:rsidRDefault="00176424" w:rsidP="00176424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迴避、推卻及自行迴避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檢察院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在刑事訴訟程序中的職能及特徵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檢察院的獨立性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檢察院的正當性與公罪、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準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公罪和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私罪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的制度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檢察院與刑事警察機關的關係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迴避、推卻及自行迴避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嫌犯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嫌犯的概念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在刑事訴訟程序中的法律地位：訴訟上的權利與義務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嫌犯的聲明及訊問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無罪推定原則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辯護人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在刑事訴訟程序中的職能及法律地位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辯護人援助的強制性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自由選擇辯護人原則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委託優於指定辯護人原則）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辯護人的替換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輔助人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刑事訴訟程序中的被害人與輔助人的概念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成為輔助人須符合的條件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輔助人在刑事訴訟程序中的法律地位</w:t>
      </w:r>
    </w:p>
    <w:p w:rsidR="00176424" w:rsidRPr="00245C6F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民事當事人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受害人與民事當事人的概念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依附原則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刑事附帶民事損害賠償請求）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及例外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民事當事人在訴訟程序中的法律地位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刑事附帶民事訴訟程序的步驟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依職權裁定的民事損害賠償</w:t>
      </w:r>
    </w:p>
    <w:p w:rsidR="00176424" w:rsidRPr="00F20938" w:rsidRDefault="00176424" w:rsidP="00176424">
      <w:pPr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證據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證據的意義及概念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證據的種類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證據自由原則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證據方法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人證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嫌犯、輔助人及民事當事人之聲明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透過對質之證據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透過辨認之證據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事實之重演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鑑定證據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書證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獲得證據的方法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檢查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搜查及搜索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扣押</w:t>
      </w:r>
    </w:p>
    <w:p w:rsidR="00176424" w:rsidRPr="00F20938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電話監聽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證據的證明力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證據在偵查階段中的作用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證據在採用強制措施時的作用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證據在審判階段中的作用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禁用證據制度</w:t>
      </w:r>
    </w:p>
    <w:p w:rsidR="00176424" w:rsidRPr="00F20938" w:rsidRDefault="00176424" w:rsidP="00176424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lastRenderedPageBreak/>
        <w:t>訴訟行為的無效情事及不當情事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訴訟行為的不法情事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無效情事的法定原則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無效情事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不可補正的無效情事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取決於爭辯的無效情事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取決於爭辯的無效情事的爭辯期間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宣告無效的效力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不當情事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不當情事的爭辯期間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宣告不當情事的效力</w:t>
      </w:r>
    </w:p>
    <w:p w:rsidR="00176424" w:rsidRPr="00F20938" w:rsidRDefault="00176424" w:rsidP="00176424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強制措施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強制措施與財產擔保措施的分別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C722F">
        <w:rPr>
          <w:rFonts w:ascii="Times New Roman" w:eastAsia="標楷體" w:hAnsi="Times New Roman" w:cs="Times New Roman" w:hint="eastAsia"/>
          <w:sz w:val="26"/>
          <w:szCs w:val="26"/>
        </w:rPr>
        <w:t>經濟擔保</w:t>
      </w:r>
    </w:p>
    <w:p w:rsidR="00176424" w:rsidRPr="005C722F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5C722F">
        <w:rPr>
          <w:rFonts w:ascii="Times New Roman" w:eastAsia="標楷體" w:hAnsi="Times New Roman" w:cs="Times New Roman" w:hint="eastAsia"/>
          <w:sz w:val="26"/>
          <w:szCs w:val="26"/>
        </w:rPr>
        <w:t>預防性假扣押</w:t>
      </w:r>
      <w:proofErr w:type="gramEnd"/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強制措施與無罪推定原則相抵觸的問題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強制措施的法定原則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強制措施的適當及適度原則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採用強制措施的一般要件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強制措施的種類</w:t>
      </w:r>
    </w:p>
    <w:p w:rsidR="00176424" w:rsidRPr="00D44E4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44E44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身份資料及居所書錄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擔保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定期報到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lastRenderedPageBreak/>
        <w:t>禁止離境、接觸或進入地方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中止執行職務、從事職業或行使權利</w:t>
      </w:r>
    </w:p>
    <w:p w:rsidR="00176424" w:rsidRPr="00D44E4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羈押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</w:t>
      </w:r>
      <w:r w:rsidRPr="00D44E44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的廢止、變更及消滅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E44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強制措施的最長存續期間</w:t>
      </w:r>
    </w:p>
    <w:p w:rsidR="00176424" w:rsidRPr="00D44E4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強制措施的申訴方式</w:t>
      </w:r>
    </w:p>
    <w:p w:rsidR="00176424" w:rsidRPr="00F20938" w:rsidRDefault="00176424" w:rsidP="00176424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訴訟程序的形式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特別訴訟程序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簡易訴訟程序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簡捷訴訟程序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最簡易訴訟程序</w:t>
      </w:r>
    </w:p>
    <w:p w:rsidR="00176424" w:rsidRPr="00F20938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輕微違反訴訟程序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普通訴訟程序</w:t>
      </w:r>
    </w:p>
    <w:p w:rsidR="00176424" w:rsidRPr="00F20938" w:rsidRDefault="00176424" w:rsidP="00176424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176424" w:rsidRPr="00F20938" w:rsidRDefault="00176424" w:rsidP="00176424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刑事普通訴訟程序的訴訟階段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〈第一審〉</w:t>
      </w:r>
    </w:p>
    <w:p w:rsidR="00176424" w:rsidRPr="00F20938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初步</w:t>
      </w: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階段</w:t>
      </w:r>
      <w:r w:rsidRPr="00947C04"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偵查</w:t>
      </w: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立案前）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犯罪消息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義務檢舉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任意檢舉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提出告訴或自訴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實況筆錄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保全措施及警察措施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認別涉嫌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人身分及索求資料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關於證據的保全措施</w:t>
      </w:r>
    </w:p>
    <w:p w:rsidR="00176424" w:rsidRPr="00947C0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警方報告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偵查階段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lastRenderedPageBreak/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開立及登記成為偵查案件後的）刑事偵查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47C04">
        <w:rPr>
          <w:rFonts w:ascii="Times New Roman" w:eastAsia="標楷體" w:hAnsi="Times New Roman" w:cs="Times New Roman" w:hint="eastAsia"/>
          <w:sz w:val="26"/>
          <w:szCs w:val="26"/>
        </w:rPr>
        <w:t>拘留：現行犯與非現行犯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成為嫌犯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證據方法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獲得證據的方法</w:t>
      </w:r>
    </w:p>
    <w:p w:rsidR="00176424" w:rsidRPr="00735609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強制措施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財產擔保措施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刑事起訴法庭法官在偵查階段的介入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非主動介入）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由刑事起訴法庭法官作出的行為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由刑事起訴法庭法官命令或許可的行為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供未來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備忘用的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聲明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偵查的終結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偵查的最長存續期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檢察院作出歸檔批示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向持案檢察院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司法官的直屬上級提出異議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持案檢察院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司法官的直屬上級介入</w:t>
      </w:r>
    </w:p>
    <w:p w:rsidR="00176424" w:rsidRPr="001F253A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偵查的重開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檢察院作出控訴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輔助人提出自訴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非自訴的刑事程序）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如屬免除刑罰情況，由檢察院建議歸檔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檢察院建議暫時中止訴訟程序</w:t>
      </w:r>
    </w:p>
    <w:p w:rsidR="00176424" w:rsidRPr="0094613B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如屬非經自訴不得進行刑事程序，輔助人提出自訴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預審階段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預審的目的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聲請展開預審的情況及正當性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檢察院提出控訴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或輔助人就私罪提出自訴）</w:t>
      </w:r>
    </w:p>
    <w:p w:rsidR="00176424" w:rsidRPr="00BF5CB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檢察院作出歸檔批示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預審聲請的駁回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調查行為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預審辯論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預審辯論的目的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控訴書或展開預審聲請書中所描述事實的變更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預審終結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預審的最長存續期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起訴批示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不起訴批示</w:t>
      </w:r>
    </w:p>
    <w:p w:rsidR="00176424" w:rsidRPr="006E77BD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對預審裁決的可上訴性</w:t>
      </w:r>
    </w:p>
    <w:p w:rsidR="00176424" w:rsidRDefault="00176424" w:rsidP="00176424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822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審判階段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先前行為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訴訟程序的清理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控訴的事實範圍超越可法律容許的範圍</w:t>
      </w:r>
    </w:p>
    <w:p w:rsidR="00176424" w:rsidRPr="000853A5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先前問題或附隨問題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指定聽證日期的批示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內容及通知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訴訟程序的公開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提交答辯、證人名單及聲請證據措施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審判聽證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一般規定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聽證的公開及其限制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公開原則</w:t>
      </w:r>
      <w:r w:rsidRPr="00B21778">
        <w:rPr>
          <w:rFonts w:ascii="Times New Roman" w:eastAsia="標楷體" w:hAnsi="Times New Roman" w:cs="Times New Roman"/>
          <w:sz w:val="26"/>
          <w:szCs w:val="26"/>
        </w:rPr>
        <w:sym w:font="Wingdings" w:char="F0DF"/>
      </w:r>
      <w:r w:rsidRPr="00B21778">
        <w:rPr>
          <w:rFonts w:ascii="Times New Roman" w:eastAsia="標楷體" w:hAnsi="Times New Roman" w:cs="Times New Roman"/>
          <w:sz w:val="26"/>
          <w:szCs w:val="26"/>
        </w:rPr>
        <w:sym w:font="Wingdings" w:char="F0E0"/>
      </w:r>
      <w:r>
        <w:rPr>
          <w:rFonts w:ascii="Times New Roman" w:eastAsia="標楷體" w:hAnsi="Times New Roman" w:cs="Times New Roman" w:hint="eastAsia"/>
          <w:sz w:val="26"/>
          <w:szCs w:val="26"/>
        </w:rPr>
        <w:t>司法保密原則）</w:t>
      </w:r>
    </w:p>
    <w:p w:rsidR="00176424" w:rsidRPr="005B5DDC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聽證的紀律及領導權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聽證的辯論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辯論原則）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聽證的連續性原則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集中原則或密集原則）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口頭及直接原則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初端行為</w:t>
      </w:r>
      <w:proofErr w:type="gramEnd"/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檢察院、辯護人、輔助人</w:t>
      </w:r>
      <w:r>
        <w:rPr>
          <w:rFonts w:ascii="Times New Roman" w:eastAsia="標楷體" w:hAnsi="Times New Roman" w:cs="Times New Roman" w:hint="eastAsia"/>
          <w:sz w:val="26"/>
          <w:szCs w:val="26"/>
        </w:rPr>
        <w:t>/</w:t>
      </w:r>
      <w:r>
        <w:rPr>
          <w:rFonts w:ascii="Times New Roman" w:eastAsia="標楷體" w:hAnsi="Times New Roman" w:cs="Times New Roman" w:hint="eastAsia"/>
          <w:sz w:val="26"/>
          <w:szCs w:val="26"/>
        </w:rPr>
        <w:t>民事當事人的代理人的缺席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嫌犯的缺席及缺席審判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輔助人、民事當事人、證人或鑑定人的缺席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先前問題或附隨問題</w:t>
      </w:r>
    </w:p>
    <w:p w:rsidR="00176424" w:rsidRPr="000173B5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初端闡述</w:t>
      </w:r>
      <w:proofErr w:type="gramEnd"/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調查證據</w:t>
      </w:r>
    </w:p>
    <w:p w:rsidR="00176424" w:rsidRPr="00863A6B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嫌犯的聲明</w:t>
      </w:r>
    </w:p>
    <w:p w:rsidR="00176424" w:rsidRDefault="00176424" w:rsidP="00176424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嫌犯的身分認別</w:t>
      </w:r>
    </w:p>
    <w:p w:rsidR="00176424" w:rsidRDefault="00176424" w:rsidP="00176424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自認</w:t>
      </w:r>
    </w:p>
    <w:p w:rsidR="00176424" w:rsidRDefault="00176424" w:rsidP="00176424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沉默權</w:t>
      </w:r>
    </w:p>
    <w:p w:rsidR="00176424" w:rsidRDefault="00176424" w:rsidP="00176424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嫌犯聲明的容許宣讀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由檢察院、輔助人及民事原告指定的證據方法</w:t>
      </w:r>
    </w:p>
    <w:p w:rsidR="00176424" w:rsidRDefault="00176424" w:rsidP="00176424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輔助人或民事當事人的聲明</w:t>
      </w:r>
    </w:p>
    <w:p w:rsidR="00176424" w:rsidRDefault="00176424" w:rsidP="00176424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詢問證人</w:t>
      </w:r>
    </w:p>
    <w:p w:rsidR="00176424" w:rsidRDefault="00176424" w:rsidP="00176424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鑑定人的聲明</w:t>
      </w:r>
    </w:p>
    <w:p w:rsidR="00176424" w:rsidRDefault="00176424" w:rsidP="00176424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嫌犯的暫時離場</w:t>
      </w:r>
    </w:p>
    <w:p w:rsidR="00176424" w:rsidRDefault="00176424" w:rsidP="00176424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筆錄或聲明的容許宣讀</w:t>
      </w:r>
    </w:p>
    <w:p w:rsidR="00176424" w:rsidRDefault="00176424" w:rsidP="00176424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地方的檢查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由嫌犯及民事被告指定的證據方法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控訴書或起訴書所描述事實的變更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非實質變更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實質變更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口頭陳述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嫌犯的最後聲明</w:t>
      </w:r>
    </w:p>
    <w:p w:rsidR="00176424" w:rsidRDefault="00176424" w:rsidP="00176424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獨任庭判決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與合議庭裁判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社會報告書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為確定制裁而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重開聽證</w:t>
      </w:r>
      <w:proofErr w:type="gramEnd"/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製作及宣讀判決書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判決書的要件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先前問題或附隨問題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有罪判決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無罪判決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關於民事損害賠償請求的裁判</w:t>
      </w:r>
    </w:p>
    <w:p w:rsidR="00176424" w:rsidRDefault="00176424" w:rsidP="00176424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依職權裁定的民事損害賠償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無罪判決的公布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判決的無效</w:t>
      </w:r>
    </w:p>
    <w:p w:rsidR="00176424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判決的更正</w:t>
      </w:r>
    </w:p>
    <w:p w:rsidR="00176424" w:rsidRPr="00E46595" w:rsidRDefault="00176424" w:rsidP="00176424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判決的確定</w:t>
      </w:r>
    </w:p>
    <w:p w:rsidR="00176424" w:rsidRDefault="00176424" w:rsidP="00176424"/>
    <w:p w:rsidR="00176424" w:rsidRDefault="00176424" w:rsidP="00176424">
      <w:r>
        <w:br w:type="page"/>
      </w:r>
    </w:p>
    <w:p w:rsidR="00176424" w:rsidRDefault="00176424" w:rsidP="0017642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【</w:t>
      </w:r>
      <w:r>
        <w:rPr>
          <w:rFonts w:ascii="Times New Roman" w:eastAsia="標楷體" w:hAnsi="Times New Roman" w:cs="Times New Roman" w:hint="eastAsia"/>
          <w:sz w:val="32"/>
          <w:szCs w:val="32"/>
        </w:rPr>
        <w:t>參考書目</w:t>
      </w:r>
      <w:r w:rsidRPr="00F20938">
        <w:rPr>
          <w:rFonts w:ascii="Times New Roman" w:eastAsia="標楷體" w:hAnsi="Times New Roman" w:cs="Times New Roman" w:hint="eastAsia"/>
          <w:sz w:val="32"/>
          <w:szCs w:val="32"/>
        </w:rPr>
        <w:t>】</w:t>
      </w:r>
    </w:p>
    <w:p w:rsidR="00176424" w:rsidRDefault="00176424" w:rsidP="00176424">
      <w:pPr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喬治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‧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德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‧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菲格雷多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‧迪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亞士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B5566C">
        <w:rPr>
          <w:rFonts w:ascii="Times New Roman" w:eastAsia="標楷體" w:hAnsi="Times New Roman" w:cs="Times New Roman"/>
          <w:sz w:val="26"/>
          <w:szCs w:val="26"/>
        </w:rPr>
        <w:t xml:space="preserve">Jorge de </w:t>
      </w:r>
      <w:proofErr w:type="spellStart"/>
      <w:r w:rsidRPr="00B5566C">
        <w:rPr>
          <w:rFonts w:ascii="Times New Roman" w:eastAsia="標楷體" w:hAnsi="Times New Roman" w:cs="Times New Roman"/>
          <w:sz w:val="26"/>
          <w:szCs w:val="26"/>
        </w:rPr>
        <w:t>Figueiredo</w:t>
      </w:r>
      <w:proofErr w:type="spellEnd"/>
      <w:r w:rsidRPr="00B5566C">
        <w:rPr>
          <w:rFonts w:ascii="Times New Roman" w:eastAsia="標楷體" w:hAnsi="Times New Roman" w:cs="Times New Roman"/>
          <w:sz w:val="26"/>
          <w:szCs w:val="26"/>
        </w:rPr>
        <w:t xml:space="preserve"> Dias</w:t>
      </w:r>
      <w:proofErr w:type="gramStart"/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</w:t>
      </w:r>
      <w:proofErr w:type="gramEnd"/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馬哲、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繳潔譯</w:t>
      </w:r>
      <w:proofErr w:type="gramEnd"/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《刑事訴訟法》</w:t>
      </w:r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社會科學文獻出版社</w:t>
      </w:r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澳門大學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CURSO DE PROCESSO PENAL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Vol. 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I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4.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ª Edição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2000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CURSO DE PROCESSO PENAL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Vol. I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I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3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.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ª Edição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200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CURSO DE PROCESSO PENAL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Vol. I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I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I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.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ª Edição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200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0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徐京輝、</w:t>
      </w:r>
      <w:proofErr w:type="gramStart"/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程立福著</w:t>
      </w:r>
      <w:proofErr w:type="gramEnd"/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：《澳門刑事訴訟法》，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1999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4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月第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版，澳門基金會出版。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邱庭彪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</w:t>
      </w:r>
      <w:proofErr w:type="gramEnd"/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分論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社會科學文獻出版社</w:t>
      </w:r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澳門基金會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Manuel Leal-Henriques</w:t>
      </w:r>
      <w:r>
        <w:rPr>
          <w:rFonts w:ascii="Times New Roman" w:eastAsia="標楷體" w:hAnsi="Times New Roman" w:cs="Times New Roman" w:hint="eastAsia"/>
          <w:sz w:val="26"/>
          <w:szCs w:val="26"/>
        </w:rPr>
        <w:t>著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盧映霞譯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：《澳門刑事訴訟法教程》上冊</w:t>
      </w:r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（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三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版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，修正及更新）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─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中文版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，法律及司法培訓中心，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2020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Manuel Leal-Henriques</w:t>
      </w:r>
      <w:r>
        <w:rPr>
          <w:rFonts w:ascii="Times New Roman" w:eastAsia="標楷體" w:hAnsi="Times New Roman" w:cs="Times New Roman" w:hint="eastAsia"/>
          <w:sz w:val="26"/>
          <w:szCs w:val="26"/>
        </w:rPr>
        <w:t>著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盧映霞譯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：《澳門刑事訴訟法教程》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下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冊</w:t>
      </w:r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（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三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版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，修正及更新）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─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中文版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，法律及司法培訓中心，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2020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176424" w:rsidRPr="00EF359E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Leal-Henriques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及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Simas-Santos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CÓDIGO DE PROCESSO PENAL DE MACAU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MACAU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1997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176424" w:rsidRDefault="00176424" w:rsidP="00176424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E45517"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Claus </w:t>
      </w:r>
      <w:proofErr w:type="spellStart"/>
      <w:r w:rsidRPr="00E45517">
        <w:rPr>
          <w:rFonts w:ascii="Times New Roman" w:eastAsia="標楷體" w:hAnsi="Times New Roman" w:cs="Times New Roman"/>
          <w:sz w:val="26"/>
          <w:szCs w:val="26"/>
          <w:lang w:val="pt-PT"/>
        </w:rPr>
        <w:t>Roxin</w:t>
      </w:r>
      <w:proofErr w:type="spellEnd"/>
      <w:r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</w:t>
      </w:r>
      <w:proofErr w:type="gramEnd"/>
      <w:r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，吳麗琪譯：《德國刑事訴訟法》，中國法律出版社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176424" w:rsidRPr="00C3286A" w:rsidRDefault="00176424" w:rsidP="00176424">
      <w:pPr>
        <w:spacing w:afterLines="50" w:after="180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</w:p>
    <w:p w:rsidR="00176424" w:rsidRPr="002B4E76" w:rsidRDefault="00176424" w:rsidP="00176424">
      <w:pPr>
        <w:spacing w:afterLines="50" w:after="180"/>
        <w:rPr>
          <w:lang w:val="pt-PT"/>
        </w:rPr>
      </w:pPr>
    </w:p>
    <w:p w:rsidR="00176424" w:rsidRDefault="00176424" w:rsidP="00176424"/>
    <w:p w:rsidR="00176424" w:rsidRPr="00536371" w:rsidRDefault="00176424" w:rsidP="00176424"/>
    <w:p w:rsidR="00176424" w:rsidRPr="00176424" w:rsidRDefault="00176424"/>
    <w:sectPr w:rsidR="00176424" w:rsidRPr="0017642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8B7" w:rsidRDefault="003918B7" w:rsidP="00176424">
      <w:r>
        <w:separator/>
      </w:r>
    </w:p>
  </w:endnote>
  <w:endnote w:type="continuationSeparator" w:id="0">
    <w:p w:rsidR="003918B7" w:rsidRDefault="003918B7" w:rsidP="0017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39995"/>
      <w:docPartObj>
        <w:docPartGallery w:val="Page Numbers (Bottom of Page)"/>
        <w:docPartUnique/>
      </w:docPartObj>
    </w:sdtPr>
    <w:sdtEndPr/>
    <w:sdtContent>
      <w:p w:rsidR="00F263CB" w:rsidRDefault="003918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7D19">
          <w:rPr>
            <w:noProof/>
            <w:lang w:val="zh-TW"/>
          </w:rPr>
          <w:t>7</w:t>
        </w:r>
        <w:r>
          <w:fldChar w:fldCharType="end"/>
        </w:r>
      </w:p>
    </w:sdtContent>
  </w:sdt>
  <w:p w:rsidR="00F263CB" w:rsidRDefault="00391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8B7" w:rsidRDefault="003918B7" w:rsidP="00176424">
      <w:r>
        <w:separator/>
      </w:r>
    </w:p>
  </w:footnote>
  <w:footnote w:type="continuationSeparator" w:id="0">
    <w:p w:rsidR="003918B7" w:rsidRDefault="003918B7" w:rsidP="0017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CB" w:rsidRPr="00FC7C8C" w:rsidRDefault="003918B7">
    <w:pPr>
      <w:pStyle w:val="a4"/>
      <w:rPr>
        <w:rFonts w:ascii="Times New Roman" w:eastAsia="標楷體" w:hAnsi="Times New Roman" w:cs="Times New Roman"/>
      </w:rPr>
    </w:pPr>
    <w:r w:rsidRPr="00FC7C8C">
      <w:rPr>
        <w:rFonts w:ascii="Times New Roman" w:eastAsia="標楷體" w:hAnsi="Times New Roman" w:cs="Times New Roman"/>
      </w:rPr>
      <w:t>20</w:t>
    </w:r>
    <w:r>
      <w:rPr>
        <w:rFonts w:ascii="Times New Roman" w:eastAsia="標楷體" w:hAnsi="Times New Roman" w:cs="Times New Roman" w:hint="eastAsia"/>
      </w:rPr>
      <w:t>2</w:t>
    </w:r>
    <w:r w:rsidR="00176424">
      <w:rPr>
        <w:rFonts w:ascii="Times New Roman" w:eastAsia="標楷體" w:hAnsi="Times New Roman" w:cs="Times New Roman"/>
      </w:rPr>
      <w:t>3</w:t>
    </w:r>
    <w:r>
      <w:rPr>
        <w:rFonts w:ascii="Times New Roman" w:eastAsia="標楷體" w:hAnsi="Times New Roman" w:cs="Times New Roman"/>
      </w:rPr>
      <w:t>/202</w:t>
    </w:r>
    <w:r w:rsidR="00176424">
      <w:rPr>
        <w:rFonts w:ascii="Times New Roman" w:eastAsia="標楷體" w:hAnsi="Times New Roman" w:cs="Times New Roman"/>
      </w:rPr>
      <w:t>4</w:t>
    </w:r>
    <w:r w:rsidRPr="00FC7C8C">
      <w:rPr>
        <w:rFonts w:ascii="Times New Roman" w:eastAsia="標楷體" w:hAnsi="Times New Roman" w:cs="Times New Roman"/>
      </w:rPr>
      <w:t>年度澳門大學法學院中文法學士課程</w:t>
    </w:r>
  </w:p>
  <w:p w:rsidR="00F263CB" w:rsidRDefault="003918B7">
    <w:pPr>
      <w:pStyle w:val="a4"/>
      <w:rPr>
        <w:rFonts w:ascii="Times New Roman" w:eastAsia="標楷體" w:hAnsi="Times New Roman" w:cs="Times New Roman"/>
      </w:rPr>
    </w:pPr>
    <w:r w:rsidRPr="00FC7C8C">
      <w:rPr>
        <w:rFonts w:ascii="Times New Roman" w:eastAsia="標楷體" w:hAnsi="Times New Roman" w:cs="Times New Roman"/>
      </w:rPr>
      <w:t>刑事訴訟法</w:t>
    </w:r>
    <w:r>
      <w:rPr>
        <w:rFonts w:ascii="Times New Roman" w:eastAsia="標楷體" w:hAnsi="Times New Roman" w:cs="Times New Roman" w:hint="eastAsia"/>
      </w:rPr>
      <w:t xml:space="preserve">  </w:t>
    </w:r>
    <w:r>
      <w:rPr>
        <w:rFonts w:ascii="Times New Roman" w:eastAsia="標楷體" w:hAnsi="Times New Roman" w:cs="Times New Roman" w:hint="eastAsia"/>
      </w:rPr>
      <w:t>授課內容摘要</w:t>
    </w:r>
  </w:p>
  <w:p w:rsidR="00F263CB" w:rsidRPr="00FC7C8C" w:rsidRDefault="003918B7">
    <w:pPr>
      <w:pStyle w:val="a4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導師：張穎彤</w:t>
    </w:r>
  </w:p>
  <w:p w:rsidR="00F263CB" w:rsidRDefault="003918B7">
    <w:pPr>
      <w:pStyle w:val="a4"/>
      <w:rPr>
        <w:rFonts w:ascii="Times New Roman" w:eastAsia="標楷體" w:hAnsi="Times New Roman" w:cs="Times New Roman"/>
      </w:rPr>
    </w:pPr>
  </w:p>
  <w:p w:rsidR="00F263CB" w:rsidRPr="00FC7C8C" w:rsidRDefault="003918B7">
    <w:pPr>
      <w:pStyle w:val="a4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03"/>
    <w:multiLevelType w:val="hybridMultilevel"/>
    <w:tmpl w:val="F432A8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476FA"/>
    <w:multiLevelType w:val="hybridMultilevel"/>
    <w:tmpl w:val="5A6C395E"/>
    <w:lvl w:ilvl="0" w:tplc="530450E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96B4E2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E2A4524C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3" w:tplc="755E020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280" w:hanging="360"/>
      </w:pPr>
    </w:lvl>
    <w:lvl w:ilvl="5" w:tplc="BBFC4108">
      <w:start w:val="1"/>
      <w:numFmt w:val="lowerRoman"/>
      <w:lvlText w:val="%6."/>
      <w:lvlJc w:val="left"/>
      <w:pPr>
        <w:ind w:left="2760" w:hanging="360"/>
      </w:pPr>
      <w:rPr>
        <w:rFonts w:hint="default"/>
      </w:rPr>
    </w:lvl>
    <w:lvl w:ilvl="6" w:tplc="20EA0C42">
      <w:start w:val="1"/>
      <w:numFmt w:val="decimal"/>
      <w:lvlText w:val="%7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35D1E"/>
    <w:multiLevelType w:val="hybridMultilevel"/>
    <w:tmpl w:val="0B483F30"/>
    <w:lvl w:ilvl="0" w:tplc="68B08A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8C6A5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47FC5"/>
    <w:multiLevelType w:val="hybridMultilevel"/>
    <w:tmpl w:val="11487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2957EB"/>
    <w:multiLevelType w:val="hybridMultilevel"/>
    <w:tmpl w:val="53C4EFEA"/>
    <w:lvl w:ilvl="0" w:tplc="530450E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96B4E2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4090011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3E0252"/>
    <w:multiLevelType w:val="hybridMultilevel"/>
    <w:tmpl w:val="887809A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6" w15:restartNumberingAfterBreak="0">
    <w:nsid w:val="4C505CC1"/>
    <w:multiLevelType w:val="hybridMultilevel"/>
    <w:tmpl w:val="519E68FA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24"/>
    <w:rsid w:val="00176424"/>
    <w:rsid w:val="003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6A29"/>
  <w15:chartTrackingRefBased/>
  <w15:docId w15:val="{0C6CF7B0-DB92-41B5-AC53-54445349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4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Weng Tong</dc:creator>
  <cp:keywords/>
  <dc:description/>
  <cp:lastModifiedBy>Cheong Weng Tong</cp:lastModifiedBy>
  <cp:revision>1</cp:revision>
  <dcterms:created xsi:type="dcterms:W3CDTF">2024-01-08T02:23:00Z</dcterms:created>
  <dcterms:modified xsi:type="dcterms:W3CDTF">2024-01-08T02:23:00Z</dcterms:modified>
</cp:coreProperties>
</file>