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DC" w:rsidRPr="007E34DC" w:rsidRDefault="007E34DC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202</w:t>
      </w:r>
      <w:r w:rsidR="00AF380B">
        <w:rPr>
          <w:rFonts w:ascii="Microsoft JhengHei" w:eastAsia="Microsoft JhengHei" w:hAnsi="Microsoft JhengHei" w:cs="Microsoft JhengHei"/>
          <w:w w:val="90"/>
        </w:rPr>
        <w:t>4</w:t>
      </w:r>
      <w:r w:rsidRPr="007E34DC">
        <w:rPr>
          <w:rFonts w:ascii="Microsoft JhengHei" w:eastAsia="Microsoft JhengHei" w:hAnsi="Microsoft JhengHei" w:cs="Microsoft JhengHei"/>
          <w:w w:val="90"/>
        </w:rPr>
        <w:t>-202</w:t>
      </w:r>
      <w:r w:rsidR="00AF380B">
        <w:rPr>
          <w:rFonts w:ascii="Microsoft JhengHei" w:eastAsia="Microsoft JhengHei" w:hAnsi="Microsoft JhengHei" w:cs="Microsoft JhengHei"/>
          <w:w w:val="90"/>
        </w:rPr>
        <w:t>5</w:t>
      </w:r>
      <w:r w:rsidRPr="007E34DC">
        <w:rPr>
          <w:rFonts w:ascii="Microsoft JhengHei" w:eastAsia="Microsoft JhengHei" w:hAnsi="Microsoft JhengHei" w:cs="Microsoft JhengHei"/>
          <w:w w:val="90"/>
        </w:rPr>
        <w:t xml:space="preserve"> 學年</w:t>
      </w:r>
    </w:p>
    <w:p w:rsidR="007E34DC" w:rsidRDefault="007E34DC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行政法I（實踐課）</w:t>
      </w:r>
    </w:p>
    <w:p w:rsidR="007E34DC" w:rsidRPr="007E34DC" w:rsidRDefault="007E34DC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每週教案</w:t>
      </w:r>
    </w:p>
    <w:p w:rsidR="007E34DC" w:rsidRPr="007E34DC" w:rsidRDefault="007E34DC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黃景禧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796"/>
      </w:tblGrid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107" w:line="472" w:lineRule="exact"/>
              <w:ind w:left="2576" w:right="2571"/>
              <w:jc w:val="center"/>
              <w:rPr>
                <w:rFonts w:ascii="Yu Gothic UI" w:eastAsia="Yu Gothic UI"/>
                <w:b/>
                <w:sz w:val="28"/>
              </w:rPr>
            </w:pPr>
            <w:r>
              <w:rPr>
                <w:rFonts w:ascii="Yu Gothic UI" w:eastAsia="Yu Gothic UI" w:hint="eastAsia"/>
                <w:b/>
                <w:sz w:val="28"/>
              </w:rPr>
              <w:t>教學內容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6" w:type="dxa"/>
          </w:tcPr>
          <w:p w:rsidR="007E34DC" w:rsidRPr="006A1398" w:rsidRDefault="0006323C" w:rsidP="006A1398">
            <w:pPr>
              <w:pStyle w:val="TableParagraph"/>
              <w:rPr>
                <w:spacing w:val="-1"/>
                <w:sz w:val="28"/>
              </w:rPr>
            </w:pPr>
            <w:r w:rsidRPr="006A1398">
              <w:rPr>
                <w:rFonts w:hint="eastAsia"/>
                <w:spacing w:val="-1"/>
                <w:sz w:val="28"/>
              </w:rPr>
              <w:t>概念解釋（</w:t>
            </w:r>
            <w:r w:rsidR="007E34DC" w:rsidRPr="006A1398">
              <w:rPr>
                <w:spacing w:val="-1"/>
                <w:sz w:val="28"/>
              </w:rPr>
              <w:t>行政</w:t>
            </w:r>
            <w:r w:rsidRPr="006A1398">
              <w:rPr>
                <w:rFonts w:hint="eastAsia"/>
                <w:spacing w:val="-1"/>
                <w:sz w:val="28"/>
              </w:rPr>
              <w:t>法概論</w:t>
            </w:r>
            <w:r w:rsidRPr="006A1398">
              <w:rPr>
                <w:spacing w:val="-1"/>
                <w:sz w:val="28"/>
              </w:rPr>
              <w:t>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</w:tcPr>
          <w:p w:rsidR="007E34DC" w:rsidRPr="006A1398" w:rsidRDefault="0006323C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 w:rsidR="007E34DC" w:rsidRPr="006A1398">
              <w:rPr>
                <w:spacing w:val="-1"/>
                <w:sz w:val="28"/>
              </w:rPr>
              <w:t>（</w:t>
            </w:r>
            <w:r w:rsidRPr="006A1398">
              <w:rPr>
                <w:rFonts w:hint="eastAsia"/>
                <w:spacing w:val="-1"/>
                <w:sz w:val="28"/>
              </w:rPr>
              <w:t>行政違法行為</w:t>
            </w:r>
            <w:r w:rsidR="007E34DC" w:rsidRPr="006A1398">
              <w:rPr>
                <w:spacing w:val="-1"/>
                <w:sz w:val="28"/>
              </w:rPr>
              <w:t>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</w:tcPr>
          <w:p w:rsidR="007E34DC" w:rsidRPr="006A1398" w:rsidRDefault="0006323C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案例分享</w:t>
            </w:r>
            <w:r w:rsidR="007E34DC">
              <w:rPr>
                <w:spacing w:val="-1"/>
                <w:sz w:val="28"/>
              </w:rPr>
              <w:t>（</w:t>
            </w:r>
            <w:r w:rsidRPr="006A1398">
              <w:rPr>
                <w:rFonts w:hint="eastAsia"/>
                <w:spacing w:val="-1"/>
                <w:sz w:val="28"/>
              </w:rPr>
              <w:t>行政法主體：公法人、機關、據位人和人員</w:t>
            </w:r>
            <w:r w:rsidR="007E34DC" w:rsidRPr="006A1398">
              <w:rPr>
                <w:spacing w:val="-1"/>
                <w:sz w:val="28"/>
              </w:rPr>
              <w:t>）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</w:tcPr>
          <w:p w:rsidR="007E34DC" w:rsidRPr="006A1398" w:rsidRDefault="0006323C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 w:rsidR="007E34DC" w:rsidRPr="006A1398">
              <w:rPr>
                <w:spacing w:val="-1"/>
                <w:sz w:val="28"/>
              </w:rPr>
              <w:t>（</w:t>
            </w:r>
            <w:r w:rsidRPr="006A1398">
              <w:rPr>
                <w:rFonts w:hint="eastAsia"/>
                <w:spacing w:val="-1"/>
                <w:sz w:val="28"/>
              </w:rPr>
              <w:t>職責及權限</w:t>
            </w:r>
            <w:r w:rsidR="007E34DC" w:rsidRPr="006A1398">
              <w:rPr>
                <w:spacing w:val="-1"/>
                <w:sz w:val="28"/>
              </w:rPr>
              <w:t>）</w:t>
            </w:r>
            <w:r w:rsidRPr="006A1398">
              <w:rPr>
                <w:spacing w:val="-1"/>
                <w:sz w:val="28"/>
              </w:rPr>
              <w:t>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</w:tcPr>
          <w:p w:rsidR="007E34DC" w:rsidRPr="006A1398" w:rsidRDefault="0006323C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案例分享</w:t>
            </w:r>
            <w:r w:rsidR="007E34DC" w:rsidRPr="006A1398">
              <w:rPr>
                <w:spacing w:val="-1"/>
                <w:sz w:val="28"/>
              </w:rPr>
              <w:t>（</w:t>
            </w:r>
            <w:r w:rsidRPr="006A1398">
              <w:rPr>
                <w:rFonts w:hint="eastAsia"/>
                <w:spacing w:val="-1"/>
                <w:sz w:val="28"/>
              </w:rPr>
              <w:t>直接行政、間接行政、自治行政</w:t>
            </w:r>
            <w:r w:rsidR="007E34DC" w:rsidRPr="006A1398">
              <w:rPr>
                <w:spacing w:val="-1"/>
                <w:sz w:val="28"/>
              </w:rPr>
              <w:t>）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</w:tcPr>
          <w:p w:rsidR="007E34DC" w:rsidRPr="006A1398" w:rsidRDefault="007E34DC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 w:rsidRPr="006A1398">
              <w:rPr>
                <w:spacing w:val="-1"/>
                <w:sz w:val="28"/>
              </w:rPr>
              <w:t>（</w:t>
            </w:r>
            <w:r w:rsidR="0006323C" w:rsidRPr="006A1398">
              <w:rPr>
                <w:spacing w:val="-1"/>
                <w:sz w:val="28"/>
              </w:rPr>
              <w:t>組織間職能的關係</w:t>
            </w:r>
            <w:r w:rsidR="0006323C" w:rsidRPr="006A1398">
              <w:rPr>
                <w:rFonts w:hint="eastAsia"/>
                <w:spacing w:val="-1"/>
                <w:sz w:val="28"/>
              </w:rPr>
              <w:t>：</w:t>
            </w:r>
            <w:r w:rsidR="0006323C" w:rsidRPr="006A1398">
              <w:rPr>
                <w:spacing w:val="-1"/>
                <w:sz w:val="28"/>
              </w:rPr>
              <w:t>隸屬關係、監管關係、監督關係、授權關係</w:t>
            </w:r>
            <w:r w:rsidRPr="006A1398">
              <w:rPr>
                <w:spacing w:val="-1"/>
                <w:sz w:val="28"/>
              </w:rPr>
              <w:t>）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96" w:type="dxa"/>
          </w:tcPr>
          <w:p w:rsidR="007E34DC" w:rsidRPr="006A1398" w:rsidRDefault="007E34DC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 w:rsidRPr="006A1398">
              <w:rPr>
                <w:spacing w:val="-1"/>
                <w:sz w:val="28"/>
              </w:rPr>
              <w:t>（默示駁回）、案例分享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96" w:type="dxa"/>
          </w:tcPr>
          <w:p w:rsidR="007E34DC" w:rsidRPr="006A1398" w:rsidRDefault="006A1398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96" w:type="dxa"/>
          </w:tcPr>
          <w:p w:rsidR="007E34DC" w:rsidRPr="006A1398" w:rsidRDefault="007E34DC" w:rsidP="0006323C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條文運用（</w:t>
            </w:r>
            <w:r w:rsidR="006A1398" w:rsidRPr="006A1398">
              <w:rPr>
                <w:rFonts w:hint="eastAsia"/>
                <w:spacing w:val="-1"/>
                <w:sz w:val="28"/>
              </w:rPr>
              <w:t>行政法原則：</w:t>
            </w:r>
            <w:r w:rsidR="006A1398" w:rsidRPr="006A1398">
              <w:rPr>
                <w:spacing w:val="-1"/>
                <w:sz w:val="28"/>
              </w:rPr>
              <w:t>謀求公共利益原則、合法性原則、尊重私人之權利及受法律保護之利益原則</w:t>
            </w:r>
            <w:r w:rsidRPr="006A1398">
              <w:rPr>
                <w:spacing w:val="-1"/>
                <w:sz w:val="28"/>
              </w:rPr>
              <w:t>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96" w:type="dxa"/>
          </w:tcPr>
          <w:p w:rsidR="007E34DC" w:rsidRPr="006A1398" w:rsidRDefault="007E34DC" w:rsidP="006A1398">
            <w:pPr>
              <w:pStyle w:val="TableParagraph"/>
              <w:rPr>
                <w:spacing w:val="-1"/>
                <w:sz w:val="28"/>
              </w:rPr>
            </w:pPr>
            <w:r w:rsidRPr="006A1398">
              <w:rPr>
                <w:spacing w:val="-1"/>
                <w:sz w:val="28"/>
              </w:rPr>
              <w:t>條文運用（</w:t>
            </w:r>
            <w:r w:rsidR="006A1398" w:rsidRPr="006A1398">
              <w:rPr>
                <w:rFonts w:hint="eastAsia"/>
                <w:spacing w:val="-1"/>
                <w:sz w:val="28"/>
              </w:rPr>
              <w:t>行政法原則：</w:t>
            </w:r>
            <w:r w:rsidR="006A1398" w:rsidRPr="006A1398">
              <w:rPr>
                <w:spacing w:val="-1"/>
                <w:sz w:val="28"/>
              </w:rPr>
              <w:t>平等原則、適度原則</w:t>
            </w:r>
            <w:r w:rsidRPr="006A1398">
              <w:rPr>
                <w:spacing w:val="-1"/>
                <w:sz w:val="28"/>
              </w:rPr>
              <w:t>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96" w:type="dxa"/>
          </w:tcPr>
          <w:p w:rsidR="007E34DC" w:rsidRPr="006A1398" w:rsidRDefault="007E34DC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 w:rsidRPr="006A1398">
              <w:rPr>
                <w:spacing w:val="-1"/>
                <w:sz w:val="28"/>
              </w:rPr>
              <w:t>（</w:t>
            </w:r>
            <w:r w:rsidR="006A1398" w:rsidRPr="006A1398">
              <w:rPr>
                <w:rFonts w:hint="eastAsia"/>
                <w:spacing w:val="-1"/>
                <w:sz w:val="28"/>
              </w:rPr>
              <w:t>行政法原則：</w:t>
            </w:r>
            <w:r w:rsidR="006A1398" w:rsidRPr="006A1398">
              <w:rPr>
                <w:spacing w:val="-1"/>
                <w:sz w:val="28"/>
              </w:rPr>
              <w:t>善意原則、公正原則、無私原則</w:t>
            </w:r>
            <w:r w:rsidRPr="006A1398">
              <w:rPr>
                <w:spacing w:val="-1"/>
                <w:sz w:val="28"/>
              </w:rPr>
              <w:t>）、案例分享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6" w:type="dxa"/>
          </w:tcPr>
          <w:p w:rsidR="007E34DC" w:rsidRPr="006A1398" w:rsidRDefault="006A1398" w:rsidP="008263A0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6" w:type="dxa"/>
          </w:tcPr>
          <w:p w:rsidR="007E34DC" w:rsidRPr="006A1398" w:rsidRDefault="006A1398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案例分享</w:t>
            </w:r>
            <w:r w:rsidRPr="006A1398">
              <w:rPr>
                <w:spacing w:val="-1"/>
                <w:sz w:val="28"/>
              </w:rPr>
              <w:t>（</w:t>
            </w:r>
            <w:r w:rsidRPr="006A1398">
              <w:rPr>
                <w:rFonts w:hint="eastAsia"/>
                <w:spacing w:val="-1"/>
                <w:sz w:val="28"/>
              </w:rPr>
              <w:t>自由裁量權及不確定概念</w:t>
            </w:r>
            <w:r w:rsidRPr="006A1398">
              <w:rPr>
                <w:spacing w:val="-1"/>
                <w:sz w:val="28"/>
              </w:rPr>
              <w:t>）</w:t>
            </w:r>
            <w:r>
              <w:rPr>
                <w:spacing w:val="-1"/>
                <w:sz w:val="28"/>
              </w:rPr>
              <w:t>、案例分享</w:t>
            </w:r>
          </w:p>
        </w:tc>
      </w:tr>
      <w:tr w:rsidR="007E34DC" w:rsidTr="006A1398">
        <w:trPr>
          <w:trHeight w:val="624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96" w:type="dxa"/>
          </w:tcPr>
          <w:p w:rsidR="007E34DC" w:rsidRPr="006A1398" w:rsidRDefault="007E34DC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  <w:tr w:rsidR="006A1398" w:rsidTr="006A1398">
        <w:trPr>
          <w:trHeight w:val="624"/>
        </w:trPr>
        <w:tc>
          <w:tcPr>
            <w:tcW w:w="851" w:type="dxa"/>
          </w:tcPr>
          <w:p w:rsidR="006A1398" w:rsidRDefault="006A1398" w:rsidP="008263A0">
            <w:pPr>
              <w:pStyle w:val="TableParagraph"/>
              <w:spacing w:before="20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96" w:type="dxa"/>
          </w:tcPr>
          <w:p w:rsidR="006A1398" w:rsidRDefault="006A1398" w:rsidP="006A1398">
            <w:pPr>
              <w:pStyle w:val="TableParagrap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</w:tbl>
    <w:p w:rsidR="0090455A" w:rsidRPr="007E34DC" w:rsidRDefault="006A1398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lastRenderedPageBreak/>
        <w:t>202</w:t>
      </w:r>
      <w:r w:rsidR="00AF380B">
        <w:rPr>
          <w:rFonts w:ascii="Microsoft JhengHei" w:eastAsia="Microsoft JhengHei" w:hAnsi="Microsoft JhengHei" w:cs="Microsoft JhengHei"/>
          <w:w w:val="90"/>
        </w:rPr>
        <w:t>4</w:t>
      </w:r>
      <w:r w:rsidRPr="007E34DC">
        <w:rPr>
          <w:rFonts w:ascii="Microsoft JhengHei" w:eastAsia="Microsoft JhengHei" w:hAnsi="Microsoft JhengHei" w:cs="Microsoft JhengHei"/>
          <w:w w:val="90"/>
        </w:rPr>
        <w:t>-202</w:t>
      </w:r>
      <w:r w:rsidR="00AF380B">
        <w:rPr>
          <w:rFonts w:ascii="Microsoft JhengHei" w:eastAsia="Microsoft JhengHei" w:hAnsi="Microsoft JhengHei" w:cs="Microsoft JhengHei"/>
          <w:w w:val="90"/>
        </w:rPr>
        <w:t>5</w:t>
      </w:r>
      <w:bookmarkStart w:id="0" w:name="_GoBack"/>
      <w:bookmarkEnd w:id="0"/>
      <w:r w:rsidRPr="007E34DC">
        <w:rPr>
          <w:rFonts w:ascii="Microsoft JhengHei" w:eastAsia="Microsoft JhengHei" w:hAnsi="Microsoft JhengHei" w:cs="Microsoft JhengHei"/>
          <w:w w:val="90"/>
        </w:rPr>
        <w:t xml:space="preserve"> 學年</w:t>
      </w:r>
    </w:p>
    <w:p w:rsidR="007E34DC" w:rsidRDefault="006A1398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行政法II（實踐課）</w:t>
      </w:r>
    </w:p>
    <w:p w:rsidR="0090455A" w:rsidRPr="007E34DC" w:rsidRDefault="006A1398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每週教案</w:t>
      </w:r>
    </w:p>
    <w:p w:rsidR="007E34DC" w:rsidRPr="007E34DC" w:rsidRDefault="006A1398" w:rsidP="007E34DC">
      <w:pPr>
        <w:pStyle w:val="BodyText"/>
        <w:spacing w:line="534" w:lineRule="exact"/>
        <w:ind w:left="2238" w:right="2236"/>
        <w:rPr>
          <w:rFonts w:ascii="Microsoft JhengHei" w:eastAsia="Microsoft JhengHei" w:hAnsi="Microsoft JhengHei" w:cs="Microsoft JhengHei"/>
          <w:w w:val="90"/>
        </w:rPr>
      </w:pPr>
      <w:r w:rsidRPr="007E34DC">
        <w:rPr>
          <w:rFonts w:ascii="Microsoft JhengHei" w:eastAsia="Microsoft JhengHei" w:hAnsi="Microsoft JhengHei" w:cs="Microsoft JhengHei"/>
          <w:w w:val="90"/>
        </w:rPr>
        <w:t>黃景禧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796"/>
      </w:tblGrid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107" w:line="472" w:lineRule="exact"/>
              <w:ind w:left="2576" w:right="2571"/>
              <w:jc w:val="center"/>
              <w:rPr>
                <w:rFonts w:ascii="Yu Gothic UI" w:eastAsia="Yu Gothic UI"/>
                <w:b/>
                <w:sz w:val="28"/>
              </w:rPr>
            </w:pPr>
            <w:r>
              <w:rPr>
                <w:rFonts w:ascii="Yu Gothic UI" w:eastAsia="Yu Gothic UI" w:hint="eastAsia"/>
                <w:b/>
                <w:sz w:val="28"/>
              </w:rPr>
              <w:t>教學內容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0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（行政行為定義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、真實書狀展示</w:t>
            </w:r>
          </w:p>
        </w:tc>
      </w:tr>
      <w:tr w:rsidR="007E34DC" w:rsidTr="007E34DC">
        <w:trPr>
          <w:trHeight w:val="602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3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（行政行為結構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條文運用（</w:t>
            </w:r>
            <w:r>
              <w:rPr>
                <w:sz w:val="28"/>
              </w:rPr>
              <w:t>行政行為必須載明事項；通知內容）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案例分享</w:t>
            </w:r>
            <w:r>
              <w:rPr>
                <w:sz w:val="28"/>
              </w:rPr>
              <w:t>（行政行為種類；行政行為分類）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0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（行政程序基本原則）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（行政程序各階段）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（默示駁回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602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條文運用（有效及效力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11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條文運用（</w:t>
            </w:r>
            <w:r>
              <w:rPr>
                <w:sz w:val="28"/>
              </w:rPr>
              <w:t>非有效；違法性瑕疵；不法性；意思</w:t>
            </w:r>
          </w:p>
          <w:p w:rsidR="007E34DC" w:rsidRDefault="007E34DC" w:rsidP="008263A0"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瑕疵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11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0" w:line="600" w:lineRule="exact"/>
              <w:ind w:right="176"/>
              <w:rPr>
                <w:sz w:val="28"/>
              </w:rPr>
            </w:pPr>
            <w:r>
              <w:rPr>
                <w:sz w:val="28"/>
              </w:rPr>
              <w:t>條文運用（非有效之後果：無效及可撤銷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600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條文運用</w:t>
            </w:r>
            <w:r>
              <w:rPr>
                <w:sz w:val="28"/>
              </w:rPr>
              <w:t>（廢止；追認、糾正及轉換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條文運用（執行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、案例分享</w:t>
            </w:r>
          </w:p>
        </w:tc>
      </w:tr>
      <w:tr w:rsidR="007E34DC" w:rsidTr="007E34DC">
        <w:trPr>
          <w:trHeight w:val="599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0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0"/>
              <w:rPr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  <w:tr w:rsidR="007E34DC" w:rsidTr="007E34DC">
        <w:trPr>
          <w:trHeight w:val="601"/>
        </w:trPr>
        <w:tc>
          <w:tcPr>
            <w:tcW w:w="851" w:type="dxa"/>
          </w:tcPr>
          <w:p w:rsidR="007E34DC" w:rsidRDefault="007E34DC" w:rsidP="008263A0">
            <w:pPr>
              <w:pStyle w:val="TableParagraph"/>
              <w:spacing w:before="20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96" w:type="dxa"/>
          </w:tcPr>
          <w:p w:rsidR="007E34DC" w:rsidRDefault="007E34DC" w:rsidP="008263A0">
            <w:pPr>
              <w:pStyle w:val="TableParagraph"/>
              <w:spacing w:before="202"/>
              <w:rPr>
                <w:sz w:val="28"/>
              </w:rPr>
            </w:pPr>
            <w:r>
              <w:rPr>
                <w:spacing w:val="-1"/>
                <w:sz w:val="28"/>
              </w:rPr>
              <w:t>實踐題目練習、案例分享</w:t>
            </w:r>
          </w:p>
        </w:tc>
      </w:tr>
    </w:tbl>
    <w:p w:rsidR="007E34DC" w:rsidRDefault="007E34DC">
      <w:pPr>
        <w:pStyle w:val="BodyText"/>
        <w:spacing w:line="616" w:lineRule="exact"/>
        <w:ind w:left="2595"/>
        <w:rPr>
          <w:rFonts w:eastAsiaTheme="minorEastAsia"/>
        </w:rPr>
      </w:pPr>
    </w:p>
    <w:p w:rsidR="007E34DC" w:rsidRPr="007E34DC" w:rsidRDefault="007E34DC" w:rsidP="007E34DC">
      <w:pPr>
        <w:pStyle w:val="BodyText"/>
        <w:spacing w:line="534" w:lineRule="exact"/>
        <w:ind w:right="2236"/>
        <w:jc w:val="both"/>
        <w:rPr>
          <w:rFonts w:ascii="Microsoft JhengHei" w:eastAsia="Microsoft JhengHei" w:hAnsi="Microsoft JhengHei" w:cs="Microsoft JhengHei"/>
        </w:rPr>
      </w:pPr>
      <w:r w:rsidRPr="007E34DC">
        <w:rPr>
          <w:rFonts w:ascii="Microsoft JhengHei" w:eastAsia="Microsoft JhengHei" w:hAnsi="Microsoft JhengHei" w:cs="Microsoft JhengHei"/>
        </w:rPr>
        <w:lastRenderedPageBreak/>
        <w:t>夜班行政法(實踐課)參考書目：</w:t>
      </w:r>
    </w:p>
    <w:p w:rsidR="007E34DC" w:rsidRPr="00E77C87" w:rsidRDefault="007E34DC" w:rsidP="007E34DC">
      <w:pPr>
        <w:pStyle w:val="BodyText"/>
        <w:spacing w:line="534" w:lineRule="exact"/>
        <w:jc w:val="both"/>
        <w:rPr>
          <w:w w:val="90"/>
        </w:rPr>
      </w:pPr>
    </w:p>
    <w:p w:rsidR="007E34DC" w:rsidRDefault="007E34DC" w:rsidP="007E34DC">
      <w:pPr>
        <w:rPr>
          <w:rFonts w:eastAsiaTheme="minorEastAsia"/>
          <w:sz w:val="28"/>
          <w:szCs w:val="28"/>
        </w:rPr>
      </w:pPr>
      <w:r w:rsidRPr="00FF4FB3">
        <w:rPr>
          <w:sz w:val="28"/>
          <w:szCs w:val="28"/>
        </w:rPr>
        <w:t>行政法教程（第一卷），[葡] 迪奧戈·弗雷塔斯·亞瑪勒 著，黃顯輝 王西安 譯，法律出版社</w:t>
      </w:r>
    </w:p>
    <w:p w:rsidR="007E34DC" w:rsidRPr="00E77C87" w:rsidRDefault="007E34DC" w:rsidP="007E34DC">
      <w:pPr>
        <w:rPr>
          <w:rFonts w:eastAsiaTheme="minorEastAsia"/>
          <w:sz w:val="28"/>
          <w:szCs w:val="28"/>
        </w:rPr>
      </w:pPr>
    </w:p>
    <w:p w:rsidR="007E34DC" w:rsidRPr="00FF4FB3" w:rsidRDefault="007E34DC" w:rsidP="007E34DC">
      <w:pPr>
        <w:rPr>
          <w:sz w:val="28"/>
          <w:szCs w:val="28"/>
        </w:rPr>
      </w:pPr>
      <w:r w:rsidRPr="00FF4FB3">
        <w:rPr>
          <w:sz w:val="28"/>
          <w:szCs w:val="28"/>
        </w:rPr>
        <w:t>行政法教程（第二卷），[葡] 迪奧戈·弗雷塔斯·亞瑪勒 著，黃顯輝 黃淑禧 黃景禧 譯，社會科學文獻出版社</w:t>
      </w:r>
    </w:p>
    <w:p w:rsidR="007E34DC" w:rsidRPr="00FF4FB3" w:rsidRDefault="007E34DC" w:rsidP="007E34DC">
      <w:pPr>
        <w:rPr>
          <w:sz w:val="28"/>
          <w:szCs w:val="28"/>
        </w:rPr>
      </w:pPr>
    </w:p>
    <w:p w:rsidR="007E34DC" w:rsidRPr="007E34DC" w:rsidRDefault="007E34DC">
      <w:pPr>
        <w:pStyle w:val="BodyText"/>
        <w:spacing w:line="616" w:lineRule="exact"/>
        <w:ind w:left="2595"/>
        <w:rPr>
          <w:rFonts w:eastAsiaTheme="minorEastAsia"/>
        </w:rPr>
      </w:pPr>
    </w:p>
    <w:sectPr w:rsidR="007E34DC" w:rsidRPr="007E34DC" w:rsidSect="007E34DC">
      <w:type w:val="continuous"/>
      <w:pgSz w:w="11910" w:h="16840"/>
      <w:pgMar w:top="1520" w:right="1680" w:bottom="184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04" w:rsidRDefault="00465204" w:rsidP="00465204">
      <w:r>
        <w:separator/>
      </w:r>
    </w:p>
  </w:endnote>
  <w:endnote w:type="continuationSeparator" w:id="0">
    <w:p w:rsidR="00465204" w:rsidRDefault="00465204" w:rsidP="0046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04" w:rsidRDefault="00465204" w:rsidP="00465204">
      <w:r>
        <w:separator/>
      </w:r>
    </w:p>
  </w:footnote>
  <w:footnote w:type="continuationSeparator" w:id="0">
    <w:p w:rsidR="00465204" w:rsidRDefault="00465204" w:rsidP="0046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5A"/>
    <w:rsid w:val="0006323C"/>
    <w:rsid w:val="000E1385"/>
    <w:rsid w:val="00465204"/>
    <w:rsid w:val="006A1398"/>
    <w:rsid w:val="007E34DC"/>
    <w:rsid w:val="0090455A"/>
    <w:rsid w:val="00A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58A56-5EC6-46E1-B11B-C7D43D6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2595"/>
      <w:jc w:val="center"/>
    </w:pPr>
    <w:rPr>
      <w:rFonts w:ascii="Yu Gothic UI" w:eastAsia="Yu Gothic UI" w:hAnsi="Yu Gothic UI" w:cs="Yu Gothic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107"/>
    </w:pPr>
  </w:style>
  <w:style w:type="paragraph" w:styleId="Header">
    <w:name w:val="header"/>
    <w:basedOn w:val="Normal"/>
    <w:link w:val="HeaderChar"/>
    <w:uiPriority w:val="99"/>
    <w:unhideWhenUsed/>
    <w:rsid w:val="004652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5204"/>
    <w:rPr>
      <w:rFonts w:ascii="SimSun" w:eastAsia="SimSun" w:hAnsi="SimSun" w:cs="SimSu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652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520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A36C-1EB5-4997-AF83-65DFA11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A61BA57C</Template>
  <TotalTime>1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 Hei Vong</dc:creator>
  <cp:lastModifiedBy>Vong Keng Hei</cp:lastModifiedBy>
  <cp:revision>3</cp:revision>
  <dcterms:created xsi:type="dcterms:W3CDTF">2024-06-25T16:10:00Z</dcterms:created>
  <dcterms:modified xsi:type="dcterms:W3CDTF">2024-06-25T16:11:00Z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