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3B" w:rsidRPr="004D483B" w:rsidRDefault="004D483B" w:rsidP="00DB15AB">
      <w:pPr>
        <w:spacing w:line="480" w:lineRule="exact"/>
        <w:jc w:val="center"/>
        <w:rPr>
          <w:rFonts w:ascii="標楷體" w:eastAsia="標楷體" w:hAnsi="標楷體"/>
          <w:b/>
        </w:rPr>
      </w:pPr>
      <w:r w:rsidRPr="004D483B">
        <w:rPr>
          <w:rFonts w:ascii="標楷體" w:eastAsia="標楷體" w:hAnsi="標楷體" w:hint="eastAsia"/>
          <w:b/>
        </w:rPr>
        <w:t>澳門大學法學院</w:t>
      </w:r>
    </w:p>
    <w:p w:rsidR="00275EE8" w:rsidRDefault="004D483B" w:rsidP="00DB15AB">
      <w:pPr>
        <w:spacing w:line="480" w:lineRule="exact"/>
        <w:jc w:val="center"/>
        <w:rPr>
          <w:rFonts w:ascii="標楷體" w:eastAsia="標楷體" w:hAnsi="標楷體"/>
          <w:b/>
        </w:rPr>
      </w:pPr>
      <w:r w:rsidRPr="004D483B">
        <w:rPr>
          <w:rFonts w:ascii="標楷體" w:eastAsia="標楷體" w:hAnsi="標楷體"/>
          <w:b/>
        </w:rPr>
        <w:t>202</w:t>
      </w:r>
      <w:r w:rsidR="00FA3B54">
        <w:rPr>
          <w:rFonts w:ascii="標楷體" w:eastAsia="標楷體" w:hAnsi="標楷體"/>
          <w:b/>
        </w:rPr>
        <w:t>4</w:t>
      </w:r>
      <w:r w:rsidR="0015563F">
        <w:rPr>
          <w:rFonts w:ascii="標楷體" w:eastAsia="標楷體" w:hAnsi="標楷體"/>
          <w:b/>
        </w:rPr>
        <w:t>/202</w:t>
      </w:r>
      <w:r w:rsidR="00FA3B54">
        <w:rPr>
          <w:rFonts w:ascii="標楷體" w:eastAsia="標楷體" w:hAnsi="標楷體"/>
          <w:b/>
        </w:rPr>
        <w:t>5</w:t>
      </w:r>
      <w:r w:rsidRPr="004D483B">
        <w:rPr>
          <w:rFonts w:ascii="標楷體" w:eastAsia="標楷體" w:hAnsi="標楷體"/>
          <w:b/>
        </w:rPr>
        <w:t xml:space="preserve"> </w:t>
      </w:r>
      <w:r w:rsidRPr="004D483B">
        <w:rPr>
          <w:rFonts w:ascii="標楷體" w:eastAsia="標楷體" w:hAnsi="標楷體" w:hint="eastAsia"/>
          <w:b/>
        </w:rPr>
        <w:t>學年刑I</w:t>
      </w:r>
      <w:r w:rsidR="007545F5">
        <w:rPr>
          <w:rFonts w:ascii="標楷體" w:eastAsia="標楷體" w:hAnsi="標楷體" w:hint="eastAsia"/>
          <w:b/>
        </w:rPr>
        <w:t>（</w:t>
      </w:r>
      <w:r w:rsidR="00806452">
        <w:rPr>
          <w:rFonts w:ascii="標楷體" w:eastAsia="標楷體" w:hAnsi="標楷體" w:hint="eastAsia"/>
          <w:b/>
        </w:rPr>
        <w:t>法律實踐</w:t>
      </w:r>
      <w:r w:rsidR="007545F5">
        <w:rPr>
          <w:rFonts w:ascii="標楷體" w:eastAsia="標楷體" w:hAnsi="標楷體" w:hint="eastAsia"/>
          <w:b/>
        </w:rPr>
        <w:t>）</w:t>
      </w:r>
      <w:bookmarkStart w:id="0" w:name="_GoBack"/>
      <w:bookmarkEnd w:id="0"/>
      <w:r w:rsidRPr="004D483B">
        <w:rPr>
          <w:rFonts w:ascii="標楷體" w:eastAsia="標楷體" w:hAnsi="標楷體" w:hint="eastAsia"/>
          <w:b/>
        </w:rPr>
        <w:t>教學大綱</w:t>
      </w:r>
    </w:p>
    <w:p w:rsidR="00551938" w:rsidRDefault="00551938" w:rsidP="00DB15AB">
      <w:pPr>
        <w:spacing w:line="480" w:lineRule="exac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兼職講師：黃玉葉</w:t>
      </w:r>
    </w:p>
    <w:p w:rsidR="00185039" w:rsidRDefault="00185039" w:rsidP="00DB15AB">
      <w:pPr>
        <w:spacing w:line="480" w:lineRule="exact"/>
        <w:jc w:val="center"/>
        <w:rPr>
          <w:rFonts w:ascii="標楷體" w:eastAsia="標楷體" w:hAnsi="標楷體"/>
          <w:b/>
        </w:rPr>
      </w:pPr>
    </w:p>
    <w:p w:rsidR="00715907" w:rsidRPr="00715907" w:rsidRDefault="00715907" w:rsidP="00715907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715907">
        <w:rPr>
          <w:rFonts w:ascii="標楷體" w:eastAsia="標楷體" w:hAnsi="標楷體" w:hint="eastAsia"/>
          <w:b/>
        </w:rPr>
        <w:t>教學方式：</w:t>
      </w:r>
    </w:p>
    <w:p w:rsidR="00715907" w:rsidRPr="00551938" w:rsidRDefault="00FE3C31" w:rsidP="00551938">
      <w:pPr>
        <w:spacing w:line="480" w:lineRule="exact"/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202</w:t>
      </w:r>
      <w:r w:rsidR="00FA3B54">
        <w:rPr>
          <w:rFonts w:ascii="標楷體" w:eastAsia="標楷體" w:hAnsi="標楷體"/>
        </w:rPr>
        <w:t>4</w:t>
      </w:r>
      <w:r w:rsidR="0015563F">
        <w:rPr>
          <w:rFonts w:ascii="標楷體" w:eastAsia="標楷體" w:hAnsi="標楷體"/>
        </w:rPr>
        <w:t>/202</w:t>
      </w:r>
      <w:r w:rsidR="00FA3B54">
        <w:rPr>
          <w:rFonts w:ascii="標楷體" w:eastAsia="標楷體" w:hAnsi="標楷體"/>
        </w:rPr>
        <w:t>5</w:t>
      </w:r>
      <w:r w:rsidR="00185039" w:rsidRPr="00551938">
        <w:rPr>
          <w:rFonts w:ascii="標楷體" w:eastAsia="標楷體" w:hAnsi="標楷體"/>
        </w:rPr>
        <w:t xml:space="preserve"> </w:t>
      </w:r>
      <w:r w:rsidR="00185039" w:rsidRPr="00551938">
        <w:rPr>
          <w:rFonts w:ascii="標楷體" w:eastAsia="標楷體" w:hAnsi="標楷體" w:hint="eastAsia"/>
        </w:rPr>
        <w:t>學年刑I</w:t>
      </w:r>
      <w:r w:rsidR="007545F5">
        <w:rPr>
          <w:rFonts w:ascii="標楷體" w:eastAsia="標楷體" w:hAnsi="標楷體" w:hint="eastAsia"/>
        </w:rPr>
        <w:t>（</w:t>
      </w:r>
      <w:r w:rsidR="00D72BDF">
        <w:rPr>
          <w:rFonts w:ascii="標楷體" w:eastAsia="標楷體" w:hAnsi="標楷體" w:hint="eastAsia"/>
        </w:rPr>
        <w:t>法律</w:t>
      </w:r>
      <w:r w:rsidR="00185039" w:rsidRPr="00551938">
        <w:rPr>
          <w:rFonts w:ascii="標楷體" w:eastAsia="標楷體" w:hAnsi="標楷體" w:hint="eastAsia"/>
        </w:rPr>
        <w:t>實踐</w:t>
      </w:r>
      <w:r w:rsidR="007545F5">
        <w:rPr>
          <w:rFonts w:ascii="標楷體" w:eastAsia="標楷體" w:hAnsi="標楷體" w:hint="eastAsia"/>
        </w:rPr>
        <w:t>）</w:t>
      </w:r>
      <w:r w:rsidR="00DB434A">
        <w:rPr>
          <w:rFonts w:ascii="標楷體" w:eastAsia="標楷體" w:hAnsi="標楷體" w:hint="eastAsia"/>
        </w:rPr>
        <w:t>採</w:t>
      </w:r>
      <w:r w:rsidR="006E4185">
        <w:rPr>
          <w:rFonts w:ascii="標楷體" w:eastAsia="標楷體" w:hAnsi="標楷體" w:hint="eastAsia"/>
        </w:rPr>
        <w:t>用</w:t>
      </w:r>
      <w:r w:rsidR="00DB434A">
        <w:rPr>
          <w:rFonts w:ascii="標楷體" w:eastAsia="標楷體" w:hAnsi="標楷體" w:hint="eastAsia"/>
        </w:rPr>
        <w:t>分析</w:t>
      </w:r>
      <w:r w:rsidR="00185039" w:rsidRPr="00551938">
        <w:rPr>
          <w:rFonts w:ascii="標楷體" w:eastAsia="標楷體" w:hAnsi="標楷體" w:hint="eastAsia"/>
        </w:rPr>
        <w:t>個案</w:t>
      </w:r>
      <w:r w:rsidR="00DB434A">
        <w:rPr>
          <w:rFonts w:ascii="標楷體" w:eastAsia="標楷體" w:hAnsi="標楷體" w:hint="eastAsia"/>
        </w:rPr>
        <w:t>的教學方式</w:t>
      </w:r>
      <w:r w:rsidR="006E4185">
        <w:rPr>
          <w:rFonts w:ascii="標楷體" w:eastAsia="標楷體" w:hAnsi="標楷體" w:hint="eastAsia"/>
        </w:rPr>
        <w:t>進行</w:t>
      </w:r>
      <w:r w:rsidR="00DB434A">
        <w:rPr>
          <w:rFonts w:ascii="標楷體" w:eastAsia="標楷體" w:hAnsi="標楷體" w:hint="eastAsia"/>
        </w:rPr>
        <w:t>，旨在讓學生</w:t>
      </w:r>
      <w:r w:rsidR="006E4185">
        <w:rPr>
          <w:rFonts w:ascii="標楷體" w:eastAsia="標楷體" w:hAnsi="標楷體" w:hint="eastAsia"/>
        </w:rPr>
        <w:t>透過個案分析，深入認識刑法的相關理論，了解</w:t>
      </w:r>
      <w:r w:rsidR="00185039" w:rsidRPr="00551938">
        <w:rPr>
          <w:rFonts w:ascii="標楷體" w:eastAsia="標楷體" w:hAnsi="標楷體" w:hint="eastAsia"/>
        </w:rPr>
        <w:t>澳門刑法尤其是《刑法典》</w:t>
      </w:r>
      <w:r w:rsidR="00DB434A">
        <w:rPr>
          <w:rFonts w:ascii="標楷體" w:eastAsia="標楷體" w:hAnsi="標楷體" w:hint="eastAsia"/>
        </w:rPr>
        <w:t>一些重要</w:t>
      </w:r>
      <w:r w:rsidR="00185039" w:rsidRPr="00551938">
        <w:rPr>
          <w:rFonts w:ascii="標楷體" w:eastAsia="標楷體" w:hAnsi="標楷體" w:hint="eastAsia"/>
        </w:rPr>
        <w:t>規範</w:t>
      </w:r>
      <w:r w:rsidR="00DB434A">
        <w:rPr>
          <w:rFonts w:ascii="標楷體" w:eastAsia="標楷體" w:hAnsi="標楷體" w:hint="eastAsia"/>
        </w:rPr>
        <w:t>的立法精神</w:t>
      </w:r>
      <w:r w:rsidR="00185039" w:rsidRPr="00551938">
        <w:rPr>
          <w:rFonts w:ascii="標楷體" w:eastAsia="標楷體" w:hAnsi="標楷體" w:hint="eastAsia"/>
        </w:rPr>
        <w:t>，以及</w:t>
      </w:r>
      <w:r w:rsidR="00DB434A">
        <w:rPr>
          <w:rFonts w:ascii="標楷體" w:eastAsia="標楷體" w:hAnsi="標楷體" w:hint="eastAsia"/>
        </w:rPr>
        <w:t>有</w:t>
      </w:r>
      <w:r w:rsidR="00185039" w:rsidRPr="00551938">
        <w:rPr>
          <w:rFonts w:ascii="標楷體" w:eastAsia="標楷體" w:hAnsi="標楷體" w:hint="eastAsia"/>
        </w:rPr>
        <w:t>關規範在</w:t>
      </w:r>
      <w:r w:rsidR="00DB434A">
        <w:rPr>
          <w:rFonts w:ascii="標楷體" w:eastAsia="標楷體" w:hAnsi="標楷體" w:hint="eastAsia"/>
        </w:rPr>
        <w:t>適用上尤其是在</w:t>
      </w:r>
      <w:r w:rsidR="00185039" w:rsidRPr="00551938">
        <w:rPr>
          <w:rFonts w:ascii="標楷體" w:eastAsia="標楷體" w:hAnsi="標楷體" w:hint="eastAsia"/>
        </w:rPr>
        <w:t>司法實踐中</w:t>
      </w:r>
      <w:r w:rsidR="006E4185">
        <w:rPr>
          <w:rFonts w:ascii="標楷體" w:eastAsia="標楷體" w:hAnsi="標楷體" w:hint="eastAsia"/>
        </w:rPr>
        <w:t>出現</w:t>
      </w:r>
      <w:r w:rsidR="00DB434A">
        <w:rPr>
          <w:rFonts w:ascii="標楷體" w:eastAsia="標楷體" w:hAnsi="標楷體" w:hint="eastAsia"/>
        </w:rPr>
        <w:t>具爭議</w:t>
      </w:r>
      <w:r w:rsidR="00185039" w:rsidRPr="00551938">
        <w:rPr>
          <w:rFonts w:ascii="標楷體" w:eastAsia="標楷體" w:hAnsi="標楷體" w:hint="eastAsia"/>
        </w:rPr>
        <w:t>的問題。</w:t>
      </w:r>
    </w:p>
    <w:p w:rsidR="00715907" w:rsidRDefault="00327DBB" w:rsidP="00DB15AB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關於本學期分析的個案</w:t>
      </w:r>
      <w:r w:rsidR="001924CA">
        <w:rPr>
          <w:rFonts w:ascii="標楷體" w:eastAsia="標楷體" w:hAnsi="標楷體" w:hint="eastAsia"/>
        </w:rPr>
        <w:t>題</w:t>
      </w:r>
      <w:r>
        <w:rPr>
          <w:rFonts w:ascii="標楷體" w:eastAsia="標楷體" w:hAnsi="標楷體" w:hint="eastAsia"/>
        </w:rPr>
        <w:t>，將會適時派給學生</w:t>
      </w:r>
      <w:r w:rsidR="00371AEB">
        <w:rPr>
          <w:rFonts w:ascii="標楷體" w:eastAsia="標楷體" w:hAnsi="標楷體" w:hint="eastAsia"/>
        </w:rPr>
        <w:t>，而</w:t>
      </w:r>
      <w:r>
        <w:rPr>
          <w:rFonts w:ascii="標楷體" w:eastAsia="標楷體" w:hAnsi="標楷體" w:hint="eastAsia"/>
        </w:rPr>
        <w:t>個案討論的重點將會圍繞著下點教學大綱所載的內容。</w:t>
      </w:r>
    </w:p>
    <w:p w:rsidR="00327DBB" w:rsidRDefault="00327DBB" w:rsidP="00DB15AB">
      <w:pPr>
        <w:spacing w:line="480" w:lineRule="exact"/>
        <w:jc w:val="both"/>
        <w:rPr>
          <w:rFonts w:ascii="標楷體" w:eastAsia="標楷體" w:hAnsi="標楷體"/>
        </w:rPr>
      </w:pPr>
    </w:p>
    <w:p w:rsidR="00185039" w:rsidRPr="00715907" w:rsidRDefault="00715907" w:rsidP="00715907">
      <w:pPr>
        <w:spacing w:line="480" w:lineRule="exact"/>
        <w:jc w:val="both"/>
        <w:rPr>
          <w:rFonts w:ascii="標楷體" w:eastAsia="標楷體" w:hAnsi="標楷體"/>
          <w:b/>
        </w:rPr>
      </w:pPr>
      <w:r w:rsidRPr="00715907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、</w:t>
      </w:r>
      <w:r w:rsidR="00DB15AB" w:rsidRPr="00715907">
        <w:rPr>
          <w:rFonts w:ascii="標楷體" w:eastAsia="標楷體" w:hAnsi="標楷體" w:hint="eastAsia"/>
          <w:b/>
        </w:rPr>
        <w:t>教學</w:t>
      </w:r>
      <w:r w:rsidRPr="00715907">
        <w:rPr>
          <w:rFonts w:ascii="標楷體" w:eastAsia="標楷體" w:hAnsi="標楷體" w:hint="eastAsia"/>
          <w:b/>
        </w:rPr>
        <w:t>大綱</w:t>
      </w:r>
      <w:r w:rsidR="00DB15AB" w:rsidRPr="00715907">
        <w:rPr>
          <w:rFonts w:ascii="標楷體" w:eastAsia="標楷體" w:hAnsi="標楷體" w:hint="eastAsia"/>
          <w:b/>
        </w:rPr>
        <w:t>：</w:t>
      </w:r>
    </w:p>
    <w:p w:rsidR="00DB15AB" w:rsidRPr="00DB15AB" w:rsidRDefault="0015563F" w:rsidP="00551938">
      <w:pPr>
        <w:pStyle w:val="a3"/>
        <w:numPr>
          <w:ilvl w:val="0"/>
          <w:numId w:val="1"/>
        </w:numPr>
        <w:spacing w:line="480" w:lineRule="exact"/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犯罪、輕微違法、行政違法等三類不法行為的分別</w:t>
      </w:r>
      <w:r w:rsidR="00DB15AB">
        <w:rPr>
          <w:rStyle w:val="a6"/>
          <w:rFonts w:ascii="標楷體" w:eastAsia="標楷體" w:hAnsi="標楷體"/>
          <w:szCs w:val="24"/>
        </w:rPr>
        <w:footnoteReference w:id="1"/>
      </w:r>
    </w:p>
    <w:p w:rsidR="00DB15AB" w:rsidRDefault="003E0C56" w:rsidP="00551938">
      <w:pPr>
        <w:pStyle w:val="a3"/>
        <w:numPr>
          <w:ilvl w:val="0"/>
          <w:numId w:val="1"/>
        </w:numPr>
        <w:spacing w:line="480" w:lineRule="exact"/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罪刑法定原則</w:t>
      </w:r>
      <w:r w:rsidR="00C205BF">
        <w:rPr>
          <w:rStyle w:val="a6"/>
          <w:rFonts w:ascii="標楷體" w:eastAsia="標楷體" w:hAnsi="標楷體"/>
        </w:rPr>
        <w:footnoteReference w:id="2"/>
      </w:r>
      <w:r w:rsidR="00C205BF">
        <w:rPr>
          <w:rFonts w:ascii="標楷體" w:eastAsia="標楷體" w:hAnsi="標楷體" w:hint="eastAsia"/>
        </w:rPr>
        <w:t>：</w:t>
      </w:r>
    </w:p>
    <w:p w:rsidR="00C205BF" w:rsidRDefault="003E0C56" w:rsidP="00551938">
      <w:pPr>
        <w:pStyle w:val="a3"/>
        <w:numPr>
          <w:ilvl w:val="0"/>
          <w:numId w:val="1"/>
        </w:numPr>
        <w:spacing w:line="480" w:lineRule="exact"/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刑法在時間上的適用</w:t>
      </w:r>
      <w:r w:rsidR="00C205BF" w:rsidRPr="00F41B81">
        <w:rPr>
          <w:rStyle w:val="a6"/>
          <w:rFonts w:ascii="標楷體" w:eastAsia="標楷體" w:hAnsi="標楷體"/>
        </w:rPr>
        <w:footnoteReference w:id="3"/>
      </w:r>
      <w:r w:rsidR="00C205BF">
        <w:rPr>
          <w:rFonts w:ascii="標楷體" w:eastAsia="標楷體" w:hAnsi="標楷體" w:hint="eastAsia"/>
        </w:rPr>
        <w:t>：</w:t>
      </w:r>
    </w:p>
    <w:p w:rsidR="00C205BF" w:rsidRPr="005D76C1" w:rsidRDefault="00B273F3" w:rsidP="00551938">
      <w:pPr>
        <w:pStyle w:val="a3"/>
        <w:numPr>
          <w:ilvl w:val="0"/>
          <w:numId w:val="1"/>
        </w:numPr>
        <w:spacing w:line="480" w:lineRule="exact"/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刑法在空</w:t>
      </w:r>
      <w:r w:rsidR="003E0C56">
        <w:rPr>
          <w:rFonts w:ascii="標楷體" w:eastAsia="標楷體" w:hAnsi="標楷體" w:hint="eastAsia"/>
        </w:rPr>
        <w:t>間上的適用</w:t>
      </w:r>
      <w:r w:rsidR="003E0C56">
        <w:rPr>
          <w:rStyle w:val="a6"/>
          <w:rFonts w:ascii="標楷體" w:eastAsia="標楷體" w:hAnsi="標楷體"/>
        </w:rPr>
        <w:footnoteReference w:id="4"/>
      </w:r>
      <w:r w:rsidR="003E0C56">
        <w:rPr>
          <w:rFonts w:ascii="標楷體" w:eastAsia="標楷體" w:hAnsi="標楷體" w:hint="eastAsia"/>
        </w:rPr>
        <w:t>；</w:t>
      </w:r>
    </w:p>
    <w:p w:rsidR="003E0C56" w:rsidRDefault="003E0C56" w:rsidP="00551938">
      <w:pPr>
        <w:pStyle w:val="a3"/>
        <w:numPr>
          <w:ilvl w:val="0"/>
          <w:numId w:val="1"/>
        </w:numPr>
        <w:spacing w:line="480" w:lineRule="exact"/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處罰的前提：</w:t>
      </w:r>
    </w:p>
    <w:p w:rsidR="00C205BF" w:rsidRPr="003E0C56" w:rsidRDefault="003E0C56" w:rsidP="003E0C56">
      <w:pPr>
        <w:pStyle w:val="a3"/>
        <w:spacing w:line="480" w:lineRule="exact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5.1 </w:t>
      </w:r>
      <w:r w:rsidRPr="003E0C56">
        <w:rPr>
          <w:rFonts w:ascii="標楷體" w:eastAsia="標楷體" w:hAnsi="標楷體" w:hint="eastAsia"/>
        </w:rPr>
        <w:t>作為犯、不作為犯</w:t>
      </w:r>
      <w:r w:rsidRPr="003E0C56">
        <w:rPr>
          <w:rStyle w:val="a6"/>
          <w:rFonts w:ascii="標楷體" w:eastAsia="標楷體" w:hAnsi="標楷體"/>
        </w:rPr>
        <w:footnoteReference w:id="5"/>
      </w:r>
      <w:r w:rsidRPr="003E0C56">
        <w:rPr>
          <w:rFonts w:ascii="標楷體" w:eastAsia="標楷體" w:hAnsi="標楷體" w:hint="eastAsia"/>
        </w:rPr>
        <w:t>；</w:t>
      </w:r>
    </w:p>
    <w:p w:rsidR="00AA56AE" w:rsidRDefault="003E0C56" w:rsidP="003E0C56">
      <w:pPr>
        <w:pStyle w:val="a3"/>
        <w:spacing w:line="480" w:lineRule="exact"/>
        <w:ind w:leftChars="0" w:left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.2 </w:t>
      </w:r>
      <w:r>
        <w:rPr>
          <w:rFonts w:ascii="標楷體" w:eastAsia="標楷體" w:hAnsi="標楷體" w:hint="eastAsia"/>
        </w:rPr>
        <w:t>刑事責任</w:t>
      </w:r>
      <w:r>
        <w:rPr>
          <w:rStyle w:val="a6"/>
          <w:rFonts w:ascii="標楷體" w:eastAsia="標楷體" w:hAnsi="標楷體"/>
        </w:rPr>
        <w:footnoteReference w:id="6"/>
      </w:r>
    </w:p>
    <w:p w:rsidR="003E0C56" w:rsidRDefault="003E0C56" w:rsidP="003E0C56">
      <w:pPr>
        <w:spacing w:line="480" w:lineRule="exact"/>
        <w:ind w:firstLineChars="236" w:firstLine="566"/>
        <w:jc w:val="both"/>
        <w:rPr>
          <w:rFonts w:ascii="標楷體" w:eastAsia="標楷體" w:hAnsi="標楷體"/>
        </w:rPr>
      </w:pPr>
      <w:r w:rsidRPr="003E0C56">
        <w:rPr>
          <w:rFonts w:ascii="標楷體" w:eastAsia="標楷體" w:hAnsi="標楷體"/>
        </w:rPr>
        <w:t xml:space="preserve">5.2.1 </w:t>
      </w:r>
      <w:r>
        <w:rPr>
          <w:rFonts w:ascii="標楷體" w:eastAsia="標楷體" w:hAnsi="標楷體" w:hint="eastAsia"/>
        </w:rPr>
        <w:t>自然人的</w:t>
      </w:r>
      <w:r w:rsidRPr="003E0C56">
        <w:rPr>
          <w:rFonts w:ascii="標楷體" w:eastAsia="標楷體" w:hAnsi="標楷體" w:hint="eastAsia"/>
        </w:rPr>
        <w:t>刑事責任</w:t>
      </w:r>
    </w:p>
    <w:p w:rsidR="003E0C56" w:rsidRDefault="003E0C56" w:rsidP="003E0C56">
      <w:pPr>
        <w:spacing w:line="480" w:lineRule="exact"/>
        <w:ind w:firstLineChars="236" w:firstLine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.2.2 </w:t>
      </w:r>
      <w:r>
        <w:rPr>
          <w:rFonts w:ascii="標楷體" w:eastAsia="標楷體" w:hAnsi="標楷體" w:hint="eastAsia"/>
        </w:rPr>
        <w:t>法人的刑事責任</w:t>
      </w:r>
    </w:p>
    <w:p w:rsidR="00AA56AE" w:rsidRDefault="003E0C56" w:rsidP="003E0C56">
      <w:pPr>
        <w:spacing w:line="480" w:lineRule="exact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 xml:space="preserve">.3 </w:t>
      </w:r>
      <w:r w:rsidRPr="003E0C56">
        <w:rPr>
          <w:rFonts w:ascii="標楷體" w:eastAsia="標楷體" w:hAnsi="標楷體" w:hint="eastAsia"/>
          <w:szCs w:val="24"/>
        </w:rPr>
        <w:t>故意、過失</w:t>
      </w:r>
      <w:r w:rsidR="00AA56AE" w:rsidRPr="00411317">
        <w:rPr>
          <w:rStyle w:val="a6"/>
          <w:rFonts w:ascii="標楷體" w:eastAsia="標楷體" w:hAnsi="標楷體"/>
        </w:rPr>
        <w:footnoteReference w:id="7"/>
      </w:r>
    </w:p>
    <w:p w:rsidR="003E0C56" w:rsidRDefault="003E0C56" w:rsidP="003E0C56">
      <w:pPr>
        <w:spacing w:line="480" w:lineRule="exact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 xml:space="preserve">.4 </w:t>
      </w:r>
      <w:r>
        <w:rPr>
          <w:rFonts w:ascii="標楷體" w:eastAsia="標楷體" w:hAnsi="標楷體" w:hint="eastAsia"/>
          <w:szCs w:val="24"/>
        </w:rPr>
        <w:t>對事實情節的錯誤</w:t>
      </w:r>
      <w:r w:rsidR="004933A2">
        <w:rPr>
          <w:rStyle w:val="a6"/>
          <w:rFonts w:ascii="標楷體" w:eastAsia="標楷體" w:hAnsi="標楷體"/>
          <w:szCs w:val="24"/>
        </w:rPr>
        <w:footnoteReference w:id="8"/>
      </w:r>
    </w:p>
    <w:p w:rsidR="003E0C56" w:rsidRDefault="003E0C56" w:rsidP="003E0C56">
      <w:pPr>
        <w:spacing w:line="480" w:lineRule="exact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5</w:t>
      </w:r>
      <w:r>
        <w:rPr>
          <w:rFonts w:ascii="標楷體" w:eastAsia="標楷體" w:hAnsi="標楷體"/>
          <w:szCs w:val="24"/>
        </w:rPr>
        <w:t xml:space="preserve">.5 </w:t>
      </w:r>
      <w:r>
        <w:rPr>
          <w:rFonts w:ascii="標楷體" w:eastAsia="標楷體" w:hAnsi="標楷體" w:hint="eastAsia"/>
          <w:szCs w:val="24"/>
        </w:rPr>
        <w:t>對不法性的錯誤</w:t>
      </w:r>
      <w:r w:rsidR="004933A2">
        <w:rPr>
          <w:rStyle w:val="a6"/>
          <w:rFonts w:ascii="標楷體" w:eastAsia="標楷體" w:hAnsi="標楷體"/>
          <w:szCs w:val="24"/>
        </w:rPr>
        <w:footnoteReference w:id="9"/>
      </w:r>
    </w:p>
    <w:p w:rsidR="003E0C56" w:rsidRDefault="003E0C56" w:rsidP="003E0C56">
      <w:pPr>
        <w:spacing w:line="480" w:lineRule="exact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 xml:space="preserve">.6 </w:t>
      </w:r>
      <w:r>
        <w:rPr>
          <w:rFonts w:ascii="標楷體" w:eastAsia="標楷體" w:hAnsi="標楷體" w:hint="eastAsia"/>
          <w:szCs w:val="24"/>
        </w:rPr>
        <w:t>不可歸責性</w:t>
      </w:r>
      <w:r w:rsidR="004933A2">
        <w:rPr>
          <w:rStyle w:val="a6"/>
          <w:rFonts w:ascii="標楷體" w:eastAsia="標楷體" w:hAnsi="標楷體"/>
          <w:szCs w:val="24"/>
        </w:rPr>
        <w:footnoteReference w:id="10"/>
      </w:r>
    </w:p>
    <w:p w:rsidR="003E0C56" w:rsidRDefault="003E0C56" w:rsidP="003E0C56">
      <w:pPr>
        <w:spacing w:line="480" w:lineRule="exact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5.6.1 </w:t>
      </w:r>
      <w:r>
        <w:rPr>
          <w:rFonts w:ascii="標楷體" w:eastAsia="標楷體" w:hAnsi="標楷體" w:hint="eastAsia"/>
          <w:szCs w:val="24"/>
        </w:rPr>
        <w:t>因年齡的不可歸責性</w:t>
      </w:r>
    </w:p>
    <w:p w:rsidR="003E0C56" w:rsidRDefault="003E0C56" w:rsidP="003E0C56">
      <w:pPr>
        <w:spacing w:line="480" w:lineRule="exact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5.6.2 </w:t>
      </w:r>
      <w:r>
        <w:rPr>
          <w:rFonts w:ascii="標楷體" w:eastAsia="標楷體" w:hAnsi="標楷體" w:hint="eastAsia"/>
          <w:szCs w:val="24"/>
        </w:rPr>
        <w:t>因精神失常的不可歸責性</w:t>
      </w:r>
    </w:p>
    <w:p w:rsidR="004933A2" w:rsidRDefault="004933A2" w:rsidP="004933A2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6. </w:t>
      </w:r>
      <w:r>
        <w:rPr>
          <w:rFonts w:ascii="標楷體" w:eastAsia="標楷體" w:hAnsi="標楷體" w:hint="eastAsia"/>
          <w:szCs w:val="24"/>
        </w:rPr>
        <w:t>阻卻不法性</w:t>
      </w:r>
      <w:r>
        <w:rPr>
          <w:rStyle w:val="a6"/>
          <w:rFonts w:ascii="標楷體" w:eastAsia="標楷體" w:hAnsi="標楷體"/>
          <w:szCs w:val="24"/>
        </w:rPr>
        <w:footnoteReference w:id="11"/>
      </w:r>
    </w:p>
    <w:p w:rsidR="004933A2" w:rsidRDefault="004933A2" w:rsidP="004933A2">
      <w:pPr>
        <w:spacing w:line="48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/>
          <w:szCs w:val="24"/>
        </w:rPr>
        <w:t xml:space="preserve">. </w:t>
      </w:r>
      <w:r>
        <w:rPr>
          <w:rFonts w:ascii="標楷體" w:eastAsia="標楷體" w:hAnsi="標楷體" w:hint="eastAsia"/>
          <w:szCs w:val="24"/>
        </w:rPr>
        <w:t>阻卻罪過</w:t>
      </w:r>
      <w:r>
        <w:rPr>
          <w:rStyle w:val="a6"/>
          <w:rFonts w:ascii="標楷體" w:eastAsia="標楷體" w:hAnsi="標楷體"/>
          <w:szCs w:val="24"/>
        </w:rPr>
        <w:footnoteReference w:id="12"/>
      </w:r>
    </w:p>
    <w:p w:rsidR="00185039" w:rsidRPr="003E0C56" w:rsidRDefault="00185039" w:rsidP="00DB15AB">
      <w:pPr>
        <w:spacing w:line="480" w:lineRule="exact"/>
        <w:jc w:val="both"/>
        <w:rPr>
          <w:rFonts w:ascii="標楷體" w:eastAsia="標楷體" w:hAnsi="標楷體"/>
        </w:rPr>
      </w:pPr>
    </w:p>
    <w:p w:rsidR="00715907" w:rsidRDefault="00715907" w:rsidP="00715907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三、參考書目</w:t>
      </w:r>
      <w:r w:rsidRPr="00715907">
        <w:rPr>
          <w:rFonts w:ascii="標楷體" w:eastAsia="標楷體" w:hAnsi="標楷體" w:hint="eastAsia"/>
          <w:b/>
        </w:rPr>
        <w:t>：</w:t>
      </w:r>
    </w:p>
    <w:p w:rsidR="00715907" w:rsidRPr="004331A8" w:rsidRDefault="004331A8" w:rsidP="004331A8">
      <w:pPr>
        <w:spacing w:line="480" w:lineRule="exact"/>
        <w:jc w:val="both"/>
        <w:rPr>
          <w:rFonts w:ascii="標楷體" w:eastAsia="標楷體" w:hAnsi="標楷體"/>
          <w:b/>
        </w:rPr>
      </w:pPr>
      <w:r w:rsidRPr="004331A8">
        <w:rPr>
          <w:rFonts w:ascii="標楷體" w:eastAsia="標楷體" w:hAnsi="標楷體"/>
          <w:b/>
        </w:rPr>
        <w:t>(</w:t>
      </w:r>
      <w:proofErr w:type="gramStart"/>
      <w:r w:rsidRPr="004331A8">
        <w:rPr>
          <w:rFonts w:ascii="標楷體" w:eastAsia="標楷體" w:hAnsi="標楷體" w:hint="eastAsia"/>
          <w:b/>
        </w:rPr>
        <w:t>一</w:t>
      </w:r>
      <w:proofErr w:type="gramEnd"/>
      <w:r w:rsidRPr="004331A8">
        <w:rPr>
          <w:rFonts w:ascii="標楷體" w:eastAsia="標楷體" w:hAnsi="標楷體" w:hint="eastAsia"/>
          <w:b/>
        </w:rPr>
        <w:t>)</w:t>
      </w:r>
      <w:r w:rsidRPr="004331A8">
        <w:rPr>
          <w:rFonts w:ascii="標楷體" w:eastAsia="標楷體" w:hAnsi="標楷體"/>
          <w:b/>
        </w:rPr>
        <w:t xml:space="preserve"> </w:t>
      </w:r>
      <w:r w:rsidR="00715907" w:rsidRPr="004331A8">
        <w:rPr>
          <w:rFonts w:ascii="標楷體" w:eastAsia="標楷體" w:hAnsi="標楷體" w:hint="eastAsia"/>
          <w:b/>
        </w:rPr>
        <w:t>中文書目：</w:t>
      </w:r>
    </w:p>
    <w:p w:rsidR="004331A8" w:rsidRDefault="004331A8" w:rsidP="00551938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551938">
        <w:rPr>
          <w:rFonts w:ascii="標楷體" w:eastAsia="標楷體" w:hAnsi="標楷體" w:hint="eastAsia"/>
        </w:rPr>
        <w:t>趙國強：《澳門刑法概說</w:t>
      </w:r>
      <w:r w:rsidR="00023514">
        <w:rPr>
          <w:rFonts w:ascii="標楷體" w:eastAsia="標楷體" w:hAnsi="標楷體" w:hint="eastAsia"/>
        </w:rPr>
        <w:t>（</w:t>
      </w:r>
      <w:r w:rsidRPr="00551938">
        <w:rPr>
          <w:rFonts w:ascii="標楷體" w:eastAsia="標楷體" w:hAnsi="標楷體" w:hint="eastAsia"/>
        </w:rPr>
        <w:t>犯罪通論)</w:t>
      </w:r>
      <w:r w:rsidR="00023514">
        <w:rPr>
          <w:rFonts w:ascii="標楷體" w:eastAsia="標楷體" w:hAnsi="標楷體" w:hint="eastAsia"/>
        </w:rPr>
        <w:t>（</w:t>
      </w:r>
      <w:r w:rsidR="00E51EFD">
        <w:rPr>
          <w:rFonts w:ascii="標楷體" w:eastAsia="標楷體" w:hAnsi="標楷體" w:hint="eastAsia"/>
        </w:rPr>
        <w:t>修訂版</w:t>
      </w:r>
      <w:r w:rsidR="00023514" w:rsidRPr="00551938">
        <w:rPr>
          <w:rFonts w:ascii="標楷體" w:eastAsia="標楷體" w:hAnsi="標楷體" w:hint="eastAsia"/>
        </w:rPr>
        <w:t>)</w:t>
      </w:r>
      <w:r w:rsidR="00E51EFD" w:rsidRPr="00551938">
        <w:rPr>
          <w:rFonts w:ascii="標楷體" w:eastAsia="標楷體" w:hAnsi="標楷體" w:hint="eastAsia"/>
        </w:rPr>
        <w:t>》</w:t>
      </w:r>
      <w:r w:rsidR="00E51EFD">
        <w:rPr>
          <w:rFonts w:ascii="標楷體" w:eastAsia="標楷體" w:hAnsi="標楷體" w:hint="eastAsia"/>
        </w:rPr>
        <w:t>，社會科學文獻出版社，澳門基金會，</w:t>
      </w:r>
      <w:r w:rsidR="00551938" w:rsidRPr="00E51EFD">
        <w:rPr>
          <w:rFonts w:ascii="標楷體" w:eastAsia="標楷體" w:hAnsi="標楷體" w:hint="eastAsia"/>
        </w:rPr>
        <w:t>2</w:t>
      </w:r>
      <w:r w:rsidR="00551938" w:rsidRPr="00E51EFD">
        <w:rPr>
          <w:rFonts w:ascii="標楷體" w:eastAsia="標楷體" w:hAnsi="標楷體"/>
        </w:rPr>
        <w:t>021</w:t>
      </w:r>
      <w:r w:rsidR="00551938" w:rsidRPr="00E51EFD">
        <w:rPr>
          <w:rFonts w:ascii="標楷體" w:eastAsia="標楷體" w:hAnsi="標楷體" w:hint="eastAsia"/>
        </w:rPr>
        <w:t>。</w:t>
      </w:r>
    </w:p>
    <w:p w:rsidR="00551938" w:rsidRDefault="00551938" w:rsidP="00551938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喬治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德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菲格雷多</w:t>
      </w:r>
      <w:proofErr w:type="gramStart"/>
      <w:r>
        <w:rPr>
          <w:rFonts w:ascii="標楷體" w:eastAsia="標楷體" w:hAnsi="標楷體" w:hint="eastAsia"/>
        </w:rPr>
        <w:t>‧迪</w:t>
      </w:r>
      <w:proofErr w:type="gramEnd"/>
      <w:r>
        <w:rPr>
          <w:rFonts w:ascii="標楷體" w:eastAsia="標楷體" w:hAnsi="標楷體" w:hint="eastAsia"/>
        </w:rPr>
        <w:t>亞士</w:t>
      </w:r>
      <w:proofErr w:type="gramStart"/>
      <w:r w:rsidR="00023514">
        <w:rPr>
          <w:rFonts w:ascii="標楷體" w:eastAsia="標楷體" w:hAnsi="標楷體" w:hint="eastAsia"/>
        </w:rPr>
        <w:t>（</w:t>
      </w:r>
      <w:proofErr w:type="gramEnd"/>
      <w:r w:rsidRPr="00551938">
        <w:rPr>
          <w:rFonts w:ascii="Times New Roman" w:eastAsia="標楷體" w:hAnsi="Times New Roman" w:cs="Times New Roman"/>
        </w:rPr>
        <w:t xml:space="preserve">Jorge de </w:t>
      </w:r>
      <w:proofErr w:type="spellStart"/>
      <w:r w:rsidRPr="00551938">
        <w:rPr>
          <w:rFonts w:ascii="Times New Roman" w:eastAsia="標楷體" w:hAnsi="Times New Roman" w:cs="Times New Roman"/>
        </w:rPr>
        <w:t>Figueiredo</w:t>
      </w:r>
      <w:proofErr w:type="spellEnd"/>
      <w:r w:rsidRPr="00551938">
        <w:rPr>
          <w:rFonts w:ascii="Times New Roman" w:eastAsia="標楷體" w:hAnsi="Times New Roman" w:cs="Times New Roman"/>
        </w:rPr>
        <w:t xml:space="preserve"> Dias</w:t>
      </w:r>
      <w:r w:rsidR="00023514" w:rsidRPr="00551938"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著</w:t>
      </w:r>
      <w:proofErr w:type="gramEnd"/>
      <w:r w:rsidR="00657F2C">
        <w:rPr>
          <w:rFonts w:ascii="標楷體" w:eastAsia="標楷體" w:hAnsi="標楷體" w:hint="eastAsia"/>
        </w:rPr>
        <w:t>，關冠雄譯：《刑法總論</w:t>
      </w:r>
      <w:r w:rsidR="00023514">
        <w:rPr>
          <w:rFonts w:ascii="標楷體" w:eastAsia="標楷體" w:hAnsi="標楷體" w:hint="eastAsia"/>
        </w:rPr>
        <w:t>（</w:t>
      </w:r>
      <w:r w:rsidR="00657F2C">
        <w:rPr>
          <w:rFonts w:ascii="標楷體" w:eastAsia="標楷體" w:hAnsi="標楷體" w:hint="eastAsia"/>
        </w:rPr>
        <w:t>第一卷</w:t>
      </w:r>
      <w:r w:rsidR="00023514">
        <w:rPr>
          <w:rFonts w:ascii="標楷體" w:eastAsia="標楷體" w:hAnsi="標楷體" w:hint="eastAsia"/>
        </w:rPr>
        <w:t>）</w:t>
      </w:r>
      <w:r w:rsidR="00E3392D">
        <w:rPr>
          <w:rFonts w:ascii="標楷體" w:eastAsia="標楷體" w:hAnsi="標楷體"/>
        </w:rPr>
        <w:t xml:space="preserve"> </w:t>
      </w:r>
      <w:r w:rsidR="00E3392D">
        <w:rPr>
          <w:rFonts w:ascii="標楷體" w:eastAsia="標楷體" w:hAnsi="標楷體" w:hint="eastAsia"/>
        </w:rPr>
        <w:t>基礎問題及犯罪一般理論》，社會科學文獻出版社，澳門大學，2</w:t>
      </w:r>
      <w:r w:rsidR="00E3392D">
        <w:rPr>
          <w:rFonts w:ascii="標楷體" w:eastAsia="標楷體" w:hAnsi="標楷體"/>
        </w:rPr>
        <w:t>020</w:t>
      </w:r>
      <w:r w:rsidR="00E3392D">
        <w:rPr>
          <w:rFonts w:ascii="標楷體" w:eastAsia="標楷體" w:hAnsi="標楷體" w:hint="eastAsia"/>
        </w:rPr>
        <w:t>。</w:t>
      </w:r>
    </w:p>
    <w:p w:rsidR="00A03919" w:rsidRPr="00A03919" w:rsidRDefault="00A03919" w:rsidP="00124593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A03919">
        <w:rPr>
          <w:rFonts w:ascii="標楷體" w:eastAsia="標楷體" w:hAnsi="標楷體" w:hint="eastAsia"/>
        </w:rPr>
        <w:t xml:space="preserve">喬治‧德‧菲格雷多‧迪亞士 (Jorge de </w:t>
      </w:r>
      <w:proofErr w:type="spellStart"/>
      <w:r w:rsidRPr="00A03919">
        <w:rPr>
          <w:rFonts w:ascii="標楷體" w:eastAsia="標楷體" w:hAnsi="標楷體" w:hint="eastAsia"/>
        </w:rPr>
        <w:t>Figueiredo</w:t>
      </w:r>
      <w:proofErr w:type="spellEnd"/>
      <w:r w:rsidRPr="00A03919">
        <w:rPr>
          <w:rFonts w:ascii="標楷體" w:eastAsia="標楷體" w:hAnsi="標楷體" w:hint="eastAsia"/>
        </w:rPr>
        <w:t xml:space="preserve"> Dias) 著，翁文挺譯：《刑法總論 (第二卷) 犯罪的法律後果》，社會科學文獻出版社，澳門大學，2024。</w:t>
      </w:r>
    </w:p>
    <w:p w:rsidR="00E3392D" w:rsidRPr="00E3392D" w:rsidRDefault="00E3392D" w:rsidP="00551938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3392D">
        <w:rPr>
          <w:rFonts w:ascii="Times New Roman" w:eastAsia="標楷體" w:hAnsi="Times New Roman" w:cs="Times New Roman" w:hint="eastAsia"/>
        </w:rPr>
        <w:t>M</w:t>
      </w:r>
      <w:r w:rsidRPr="00E3392D">
        <w:rPr>
          <w:rFonts w:ascii="Times New Roman" w:eastAsia="標楷體" w:hAnsi="Times New Roman" w:cs="Times New Roman"/>
        </w:rPr>
        <w:t>anuel Leal-</w:t>
      </w:r>
      <w:proofErr w:type="spellStart"/>
      <w:r w:rsidRPr="00E3392D">
        <w:rPr>
          <w:rFonts w:ascii="Times New Roman" w:eastAsia="標楷體" w:hAnsi="Times New Roman" w:cs="Times New Roman"/>
        </w:rPr>
        <w:t>Henriques</w:t>
      </w:r>
      <w:proofErr w:type="spellEnd"/>
      <w:r>
        <w:rPr>
          <w:rFonts w:ascii="Times New Roman" w:eastAsia="標楷體" w:hAnsi="Times New Roman" w:cs="Times New Roman"/>
        </w:rPr>
        <w:t xml:space="preserve"> </w:t>
      </w:r>
      <w:r>
        <w:rPr>
          <w:rFonts w:ascii="標楷體" w:eastAsia="標楷體" w:hAnsi="標楷體" w:hint="eastAsia"/>
        </w:rPr>
        <w:t>著</w:t>
      </w:r>
      <w:proofErr w:type="gramEnd"/>
      <w:r>
        <w:rPr>
          <w:rFonts w:ascii="標楷體" w:eastAsia="標楷體" w:hAnsi="標楷體" w:hint="eastAsia"/>
        </w:rPr>
        <w:t>，盧映霞及陳曉</w:t>
      </w:r>
      <w:proofErr w:type="gramStart"/>
      <w:r>
        <w:rPr>
          <w:rFonts w:ascii="標楷體" w:eastAsia="標楷體" w:hAnsi="標楷體" w:hint="eastAsia"/>
        </w:rPr>
        <w:t>疇</w:t>
      </w:r>
      <w:proofErr w:type="gramEnd"/>
      <w:r>
        <w:rPr>
          <w:rFonts w:ascii="標楷體" w:eastAsia="標楷體" w:hAnsi="標楷體" w:hint="eastAsia"/>
        </w:rPr>
        <w:t>譯：</w:t>
      </w:r>
      <w:proofErr w:type="gramStart"/>
      <w:r>
        <w:rPr>
          <w:rFonts w:ascii="標楷體" w:eastAsia="標楷體" w:hAnsi="標楷體" w:hint="eastAsia"/>
        </w:rPr>
        <w:t>《</w:t>
      </w:r>
      <w:proofErr w:type="gramEnd"/>
      <w:r>
        <w:rPr>
          <w:rFonts w:ascii="標楷體" w:eastAsia="標楷體" w:hAnsi="標楷體" w:hint="eastAsia"/>
        </w:rPr>
        <w:t>澳門</w:t>
      </w:r>
      <w:proofErr w:type="gramStart"/>
      <w:r>
        <w:rPr>
          <w:rFonts w:ascii="標楷體" w:eastAsia="標楷體" w:hAnsi="標楷體" w:hint="eastAsia"/>
        </w:rPr>
        <w:t>刑</w:t>
      </w:r>
      <w:proofErr w:type="gramEnd"/>
      <w:r>
        <w:rPr>
          <w:rFonts w:ascii="標楷體" w:eastAsia="標楷體" w:hAnsi="標楷體" w:hint="eastAsia"/>
        </w:rPr>
        <w:t>法典</w:t>
      </w:r>
      <w:proofErr w:type="gramStart"/>
      <w:r>
        <w:rPr>
          <w:rFonts w:ascii="標楷體" w:eastAsia="標楷體" w:hAnsi="標楷體" w:hint="eastAsia"/>
        </w:rPr>
        <w:t>註釋及</w:t>
      </w:r>
      <w:proofErr w:type="gramEnd"/>
      <w:r>
        <w:rPr>
          <w:rFonts w:ascii="標楷體" w:eastAsia="標楷體" w:hAnsi="標楷體" w:hint="eastAsia"/>
        </w:rPr>
        <w:t>評述</w:t>
      </w:r>
      <w:r w:rsidR="00293D10">
        <w:rPr>
          <w:rFonts w:ascii="標楷體" w:eastAsia="標楷體" w:hAnsi="標楷體"/>
        </w:rPr>
        <w:t xml:space="preserve"> - </w:t>
      </w:r>
      <w:r>
        <w:rPr>
          <w:rFonts w:ascii="標楷體" w:eastAsia="標楷體" w:hAnsi="標楷體" w:hint="eastAsia"/>
        </w:rPr>
        <w:t>第一冊</w:t>
      </w:r>
      <w:r w:rsidR="00023514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第一條至第三十八條</w:t>
      </w:r>
      <w:r w:rsidR="00023514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，澳門，法律及司法培訓中心，2</w:t>
      </w:r>
      <w:r>
        <w:rPr>
          <w:rFonts w:ascii="標楷體" w:eastAsia="標楷體" w:hAnsi="標楷體"/>
        </w:rPr>
        <w:t>015</w:t>
      </w:r>
      <w:r>
        <w:rPr>
          <w:rFonts w:ascii="標楷體" w:eastAsia="標楷體" w:hAnsi="標楷體" w:hint="eastAsia"/>
        </w:rPr>
        <w:t>。</w:t>
      </w:r>
    </w:p>
    <w:p w:rsidR="00E3392D" w:rsidRPr="00023514" w:rsidRDefault="00E3392D" w:rsidP="00E3392D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r w:rsidRPr="00E3392D">
        <w:rPr>
          <w:rFonts w:ascii="Times New Roman" w:eastAsia="標楷體" w:hAnsi="Times New Roman" w:cs="Times New Roman" w:hint="eastAsia"/>
        </w:rPr>
        <w:t>M</w:t>
      </w:r>
      <w:r w:rsidRPr="00E3392D">
        <w:rPr>
          <w:rFonts w:ascii="Times New Roman" w:eastAsia="標楷體" w:hAnsi="Times New Roman" w:cs="Times New Roman"/>
        </w:rPr>
        <w:t>anuel Leal-</w:t>
      </w:r>
      <w:proofErr w:type="spellStart"/>
      <w:r w:rsidRPr="00E3392D">
        <w:rPr>
          <w:rFonts w:ascii="Times New Roman" w:eastAsia="標楷體" w:hAnsi="Times New Roman" w:cs="Times New Roman"/>
        </w:rPr>
        <w:t>Henriques</w:t>
      </w:r>
      <w:proofErr w:type="spellEnd"/>
      <w:r>
        <w:rPr>
          <w:rFonts w:ascii="Times New Roman" w:eastAsia="標楷體" w:hAnsi="Times New Roman" w:cs="Times New Roman"/>
        </w:rPr>
        <w:t xml:space="preserve"> </w:t>
      </w:r>
      <w:r>
        <w:rPr>
          <w:rFonts w:ascii="標楷體" w:eastAsia="標楷體" w:hAnsi="標楷體" w:hint="eastAsia"/>
        </w:rPr>
        <w:t>著，</w:t>
      </w:r>
      <w:r w:rsidRPr="00E51EFD">
        <w:rPr>
          <w:rFonts w:ascii="標楷體" w:eastAsia="標楷體" w:hAnsi="標楷體" w:hint="eastAsia"/>
        </w:rPr>
        <w:t>盧映霞及陳曉疇譯：《澳門刑法典註釋及評述</w:t>
      </w:r>
      <w:r w:rsidR="00023514">
        <w:rPr>
          <w:rFonts w:ascii="標楷體" w:eastAsia="標楷體" w:hAnsi="標楷體" w:hint="eastAsia"/>
        </w:rPr>
        <w:t>（分則</w:t>
      </w:r>
      <w:r w:rsidR="00023514">
        <w:rPr>
          <w:rFonts w:ascii="標楷體" w:eastAsia="標楷體" w:hAnsi="標楷體"/>
        </w:rPr>
        <w:t>）</w:t>
      </w:r>
      <w:r w:rsidR="00293D10" w:rsidRPr="00E51EFD">
        <w:rPr>
          <w:rFonts w:ascii="標楷體" w:eastAsia="標楷體" w:hAnsi="標楷體"/>
        </w:rPr>
        <w:t>-</w:t>
      </w:r>
      <w:r w:rsidRPr="00E51EFD">
        <w:rPr>
          <w:rFonts w:ascii="標楷體" w:eastAsia="標楷體" w:hAnsi="標楷體" w:hint="eastAsia"/>
        </w:rPr>
        <w:t xml:space="preserve"> 第二冊</w:t>
      </w:r>
      <w:r w:rsidR="00023514">
        <w:rPr>
          <w:rFonts w:ascii="標楷體" w:eastAsia="標楷體" w:hAnsi="標楷體" w:hint="eastAsia"/>
        </w:rPr>
        <w:t>（</w:t>
      </w:r>
      <w:r w:rsidRPr="00E51EFD">
        <w:rPr>
          <w:rFonts w:ascii="標楷體" w:eastAsia="標楷體" w:hAnsi="標楷體" w:hint="eastAsia"/>
        </w:rPr>
        <w:t>第</w:t>
      </w:r>
      <w:r w:rsidR="00023514">
        <w:rPr>
          <w:rFonts w:ascii="標楷體" w:eastAsia="標楷體" w:hAnsi="標楷體" w:hint="eastAsia"/>
        </w:rPr>
        <w:t>一百二十八</w:t>
      </w:r>
      <w:r w:rsidRPr="00E51EFD">
        <w:rPr>
          <w:rFonts w:ascii="標楷體" w:eastAsia="標楷體" w:hAnsi="標楷體" w:hint="eastAsia"/>
        </w:rPr>
        <w:t>條至第</w:t>
      </w:r>
      <w:r w:rsidR="00023514">
        <w:rPr>
          <w:rFonts w:ascii="標楷體" w:eastAsia="標楷體" w:hAnsi="標楷體" w:hint="eastAsia"/>
        </w:rPr>
        <w:t>一百九十五</w:t>
      </w:r>
      <w:r w:rsidRPr="00E51EFD">
        <w:rPr>
          <w:rFonts w:ascii="標楷體" w:eastAsia="標楷體" w:hAnsi="標楷體" w:hint="eastAsia"/>
        </w:rPr>
        <w:t>條</w:t>
      </w:r>
      <w:r w:rsidR="00023514">
        <w:rPr>
          <w:rFonts w:ascii="標楷體" w:eastAsia="標楷體" w:hAnsi="標楷體" w:hint="eastAsia"/>
        </w:rPr>
        <w:t>）</w:t>
      </w:r>
      <w:r w:rsidRPr="00E51EF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澳門，法律及司法培訓中心，</w:t>
      </w:r>
      <w:r w:rsidR="00E51EFD">
        <w:rPr>
          <w:rFonts w:ascii="標楷體" w:eastAsia="標楷體" w:hAnsi="標楷體"/>
        </w:rPr>
        <w:t>2019</w:t>
      </w:r>
      <w:r>
        <w:rPr>
          <w:rFonts w:ascii="標楷體" w:eastAsia="標楷體" w:hAnsi="標楷體" w:hint="eastAsia"/>
        </w:rPr>
        <w:t>。</w:t>
      </w:r>
    </w:p>
    <w:p w:rsidR="00023514" w:rsidRPr="00E3392D" w:rsidRDefault="00023514" w:rsidP="00E3392D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</w:rPr>
      </w:pPr>
      <w:proofErr w:type="gramStart"/>
      <w:r w:rsidRPr="00E3392D">
        <w:rPr>
          <w:rFonts w:ascii="Times New Roman" w:eastAsia="標楷體" w:hAnsi="Times New Roman" w:cs="Times New Roman" w:hint="eastAsia"/>
        </w:rPr>
        <w:t>M</w:t>
      </w:r>
      <w:r w:rsidRPr="00E3392D">
        <w:rPr>
          <w:rFonts w:ascii="Times New Roman" w:eastAsia="標楷體" w:hAnsi="Times New Roman" w:cs="Times New Roman"/>
        </w:rPr>
        <w:t>anuel Leal-</w:t>
      </w:r>
      <w:proofErr w:type="spellStart"/>
      <w:r w:rsidRPr="00E3392D">
        <w:rPr>
          <w:rFonts w:ascii="Times New Roman" w:eastAsia="標楷體" w:hAnsi="Times New Roman" w:cs="Times New Roman"/>
        </w:rPr>
        <w:t>Henriques</w:t>
      </w:r>
      <w:proofErr w:type="spellEnd"/>
      <w:r>
        <w:rPr>
          <w:rFonts w:ascii="Times New Roman" w:eastAsia="標楷體" w:hAnsi="Times New Roman" w:cs="Times New Roman"/>
        </w:rPr>
        <w:t xml:space="preserve"> </w:t>
      </w:r>
      <w:r>
        <w:rPr>
          <w:rFonts w:ascii="標楷體" w:eastAsia="標楷體" w:hAnsi="標楷體" w:hint="eastAsia"/>
        </w:rPr>
        <w:t>著</w:t>
      </w:r>
      <w:proofErr w:type="gramEnd"/>
      <w:r>
        <w:rPr>
          <w:rFonts w:ascii="標楷體" w:eastAsia="標楷體" w:hAnsi="標楷體" w:hint="eastAsia"/>
        </w:rPr>
        <w:t>，</w:t>
      </w:r>
      <w:r w:rsidRPr="00E51EFD">
        <w:rPr>
          <w:rFonts w:ascii="標楷體" w:eastAsia="標楷體" w:hAnsi="標楷體" w:hint="eastAsia"/>
        </w:rPr>
        <w:t>盧映霞及陳曉</w:t>
      </w:r>
      <w:proofErr w:type="gramStart"/>
      <w:r w:rsidRPr="00E51EFD">
        <w:rPr>
          <w:rFonts w:ascii="標楷體" w:eastAsia="標楷體" w:hAnsi="標楷體" w:hint="eastAsia"/>
        </w:rPr>
        <w:t>疇</w:t>
      </w:r>
      <w:proofErr w:type="gramEnd"/>
      <w:r w:rsidRPr="00E51EFD">
        <w:rPr>
          <w:rFonts w:ascii="標楷體" w:eastAsia="標楷體" w:hAnsi="標楷體" w:hint="eastAsia"/>
        </w:rPr>
        <w:t>譯：</w:t>
      </w:r>
      <w:proofErr w:type="gramStart"/>
      <w:r w:rsidRPr="00E51EFD">
        <w:rPr>
          <w:rFonts w:ascii="標楷體" w:eastAsia="標楷體" w:hAnsi="標楷體" w:hint="eastAsia"/>
        </w:rPr>
        <w:t>《</w:t>
      </w:r>
      <w:proofErr w:type="gramEnd"/>
      <w:r w:rsidRPr="00E51EFD">
        <w:rPr>
          <w:rFonts w:ascii="標楷體" w:eastAsia="標楷體" w:hAnsi="標楷體" w:hint="eastAsia"/>
        </w:rPr>
        <w:t>澳門</w:t>
      </w:r>
      <w:proofErr w:type="gramStart"/>
      <w:r w:rsidRPr="00E51EFD">
        <w:rPr>
          <w:rFonts w:ascii="標楷體" w:eastAsia="標楷體" w:hAnsi="標楷體" w:hint="eastAsia"/>
        </w:rPr>
        <w:t>刑</w:t>
      </w:r>
      <w:proofErr w:type="gramEnd"/>
      <w:r w:rsidRPr="00E51EFD">
        <w:rPr>
          <w:rFonts w:ascii="標楷體" w:eastAsia="標楷體" w:hAnsi="標楷體" w:hint="eastAsia"/>
        </w:rPr>
        <w:t>法典</w:t>
      </w:r>
      <w:proofErr w:type="gramStart"/>
      <w:r w:rsidRPr="00E51EFD">
        <w:rPr>
          <w:rFonts w:ascii="標楷體" w:eastAsia="標楷體" w:hAnsi="標楷體" w:hint="eastAsia"/>
        </w:rPr>
        <w:t>註釋及</w:t>
      </w:r>
      <w:proofErr w:type="gramEnd"/>
      <w:r w:rsidRPr="00E51EFD">
        <w:rPr>
          <w:rFonts w:ascii="標楷體" w:eastAsia="標楷體" w:hAnsi="標楷體" w:hint="eastAsia"/>
        </w:rPr>
        <w:t xml:space="preserve">評述 </w:t>
      </w:r>
      <w:r w:rsidRPr="00E51EFD">
        <w:rPr>
          <w:rFonts w:ascii="標楷體" w:eastAsia="標楷體" w:hAnsi="標楷體"/>
        </w:rPr>
        <w:t>-</w:t>
      </w:r>
      <w:r w:rsidRPr="00E51EFD">
        <w:rPr>
          <w:rFonts w:ascii="標楷體" w:eastAsia="標楷體" w:hAnsi="標楷體" w:hint="eastAsia"/>
        </w:rPr>
        <w:t xml:space="preserve"> 第</w:t>
      </w:r>
      <w:r>
        <w:rPr>
          <w:rFonts w:ascii="標楷體" w:eastAsia="標楷體" w:hAnsi="標楷體" w:hint="eastAsia"/>
        </w:rPr>
        <w:t>三</w:t>
      </w:r>
      <w:r w:rsidRPr="00E51EFD">
        <w:rPr>
          <w:rFonts w:ascii="標楷體" w:eastAsia="標楷體" w:hAnsi="標楷體" w:hint="eastAsia"/>
        </w:rPr>
        <w:t>冊</w:t>
      </w:r>
      <w:r>
        <w:rPr>
          <w:rFonts w:ascii="標楷體" w:eastAsia="標楷體" w:hAnsi="標楷體" w:hint="eastAsia"/>
        </w:rPr>
        <w:t>（</w:t>
      </w:r>
      <w:r w:rsidRPr="00E51EFD">
        <w:rPr>
          <w:rFonts w:ascii="標楷體" w:eastAsia="標楷體" w:hAnsi="標楷體" w:hint="eastAsia"/>
        </w:rPr>
        <w:t>第三十九條至第一百二十七條</w:t>
      </w:r>
      <w:r>
        <w:rPr>
          <w:rFonts w:ascii="標楷體" w:eastAsia="標楷體" w:hAnsi="標楷體" w:hint="eastAsia"/>
        </w:rPr>
        <w:t>）</w:t>
      </w:r>
      <w:r w:rsidRPr="00E51EF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澳門，法律及司法培訓中心，</w:t>
      </w:r>
      <w:r>
        <w:rPr>
          <w:rFonts w:ascii="標楷體" w:eastAsia="標楷體" w:hAnsi="標楷體"/>
        </w:rPr>
        <w:t>2022</w:t>
      </w:r>
      <w:r>
        <w:rPr>
          <w:rFonts w:ascii="標楷體" w:eastAsia="標楷體" w:hAnsi="標楷體" w:hint="eastAsia"/>
        </w:rPr>
        <w:t>。</w:t>
      </w:r>
    </w:p>
    <w:p w:rsidR="00353A3D" w:rsidRDefault="00353A3D" w:rsidP="00353A3D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</w:rPr>
        <w:t>徐京輝：《澳門刑法總論》</w:t>
      </w:r>
      <w:r>
        <w:rPr>
          <w:rFonts w:ascii="標楷體" w:eastAsia="標楷體" w:hAnsi="標楷體" w:hint="eastAsia"/>
        </w:rPr>
        <w:t>，社會科學文獻出版社，澳門基金會，</w:t>
      </w:r>
      <w:r w:rsidRPr="00353A3D">
        <w:rPr>
          <w:rFonts w:ascii="標楷體" w:eastAsia="標楷體" w:hAnsi="標楷體" w:hint="eastAsia"/>
        </w:rPr>
        <w:t>2</w:t>
      </w:r>
      <w:r w:rsidRPr="00353A3D">
        <w:rPr>
          <w:rFonts w:ascii="標楷體" w:eastAsia="標楷體" w:hAnsi="標楷體"/>
        </w:rPr>
        <w:t>017</w:t>
      </w:r>
      <w:r w:rsidRPr="00353A3D">
        <w:rPr>
          <w:rFonts w:ascii="標楷體" w:eastAsia="標楷體" w:hAnsi="標楷體" w:hint="eastAsia"/>
        </w:rPr>
        <w:t>。</w:t>
      </w:r>
    </w:p>
    <w:p w:rsidR="00E3392D" w:rsidRDefault="00E3392D" w:rsidP="00551938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狄</w:t>
      </w:r>
      <w:proofErr w:type="gramEnd"/>
      <w:r>
        <w:rPr>
          <w:rFonts w:ascii="標楷體" w:eastAsia="標楷體" w:hAnsi="標楷體" w:hint="eastAsia"/>
        </w:rPr>
        <w:t>雅士</w:t>
      </w:r>
      <w:r w:rsidR="00023514">
        <w:rPr>
          <w:rFonts w:ascii="標楷體" w:eastAsia="標楷體" w:hAnsi="標楷體" w:hint="eastAsia"/>
        </w:rPr>
        <w:t>（</w:t>
      </w:r>
      <w:r w:rsidRPr="00E3392D">
        <w:rPr>
          <w:rFonts w:ascii="Times New Roman" w:eastAsia="標楷體" w:hAnsi="Times New Roman" w:cs="Times New Roman"/>
        </w:rPr>
        <w:t xml:space="preserve">Jorge de </w:t>
      </w:r>
      <w:proofErr w:type="spellStart"/>
      <w:r w:rsidRPr="00E3392D">
        <w:rPr>
          <w:rFonts w:ascii="Times New Roman" w:eastAsia="標楷體" w:hAnsi="Times New Roman" w:cs="Times New Roman"/>
        </w:rPr>
        <w:t>Figueiredo</w:t>
      </w:r>
      <w:proofErr w:type="spellEnd"/>
      <w:r w:rsidRPr="00E3392D">
        <w:rPr>
          <w:rFonts w:ascii="Times New Roman" w:eastAsia="標楷體" w:hAnsi="Times New Roman" w:cs="Times New Roman"/>
        </w:rPr>
        <w:t xml:space="preserve"> Dias</w:t>
      </w:r>
      <w:r w:rsidR="00023514">
        <w:rPr>
          <w:rFonts w:ascii="標楷體" w:eastAsia="標楷體" w:hAnsi="標楷體" w:hint="eastAsia"/>
        </w:rPr>
        <w:t>）</w:t>
      </w:r>
      <w:proofErr w:type="gramStart"/>
      <w:r w:rsidRPr="00E3392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著</w:t>
      </w:r>
      <w:proofErr w:type="gramEnd"/>
      <w:r>
        <w:rPr>
          <w:rFonts w:ascii="標楷體" w:eastAsia="標楷體" w:hAnsi="標楷體" w:hint="eastAsia"/>
        </w:rPr>
        <w:t>，鄧志強譯：《刑法典評註﹝I﹞》，澳</w:t>
      </w:r>
      <w:r>
        <w:rPr>
          <w:rFonts w:ascii="標楷體" w:eastAsia="標楷體" w:hAnsi="標楷體" w:hint="eastAsia"/>
        </w:rPr>
        <w:lastRenderedPageBreak/>
        <w:t>門大學法學院，2</w:t>
      </w:r>
      <w:r>
        <w:rPr>
          <w:rFonts w:ascii="標楷體" w:eastAsia="標楷體" w:hAnsi="標楷體"/>
        </w:rPr>
        <w:t>015</w:t>
      </w:r>
      <w:r>
        <w:rPr>
          <w:rFonts w:ascii="標楷體" w:eastAsia="標楷體" w:hAnsi="標楷體" w:hint="eastAsia"/>
        </w:rPr>
        <w:t>。</w:t>
      </w:r>
    </w:p>
    <w:p w:rsidR="00293D10" w:rsidRDefault="00293D10" w:rsidP="00551938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《大法典彙編 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 xml:space="preserve"> 刑法典》，澳門特別行政區立法會，2</w:t>
      </w:r>
      <w:r>
        <w:rPr>
          <w:rFonts w:ascii="標楷體" w:eastAsia="標楷體" w:hAnsi="標楷體"/>
        </w:rPr>
        <w:t>003</w:t>
      </w:r>
      <w:r>
        <w:rPr>
          <w:rFonts w:ascii="標楷體" w:eastAsia="標楷體" w:hAnsi="標楷體" w:hint="eastAsia"/>
        </w:rPr>
        <w:t>。</w:t>
      </w:r>
    </w:p>
    <w:p w:rsidR="00293D10" w:rsidRDefault="00293D10" w:rsidP="00551938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《單行刑事法律彙編 </w:t>
      </w:r>
      <w:r>
        <w:rPr>
          <w:rFonts w:ascii="標楷體" w:eastAsia="標楷體" w:hAnsi="標楷體"/>
        </w:rPr>
        <w:t xml:space="preserve">– </w:t>
      </w:r>
      <w:r>
        <w:rPr>
          <w:rFonts w:ascii="標楷體" w:eastAsia="標楷體" w:hAnsi="標楷體" w:hint="eastAsia"/>
        </w:rPr>
        <w:t>有組織犯罪法》，</w:t>
      </w:r>
      <w:r w:rsidR="00B33DA4">
        <w:rPr>
          <w:rFonts w:ascii="標楷體" w:eastAsia="標楷體" w:hAnsi="標楷體" w:hint="eastAsia"/>
        </w:rPr>
        <w:t>澳門特別行政區立法會，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002</w:t>
      </w:r>
      <w:r>
        <w:rPr>
          <w:rFonts w:ascii="標楷體" w:eastAsia="標楷體" w:hAnsi="標楷體" w:hint="eastAsia"/>
        </w:rPr>
        <w:t>。</w:t>
      </w:r>
    </w:p>
    <w:p w:rsidR="00293D10" w:rsidRDefault="00293D10" w:rsidP="00551938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《單行刑事法律彙編 </w:t>
      </w:r>
      <w:r>
        <w:rPr>
          <w:rFonts w:ascii="標楷體" w:eastAsia="標楷體" w:hAnsi="標楷體"/>
        </w:rPr>
        <w:t xml:space="preserve">– </w:t>
      </w:r>
      <w:r>
        <w:rPr>
          <w:rFonts w:ascii="標楷體" w:eastAsia="標楷體" w:hAnsi="標楷體" w:hint="eastAsia"/>
        </w:rPr>
        <w:t>非法移民》，</w:t>
      </w:r>
      <w:r w:rsidR="00B33DA4">
        <w:rPr>
          <w:rFonts w:ascii="標楷體" w:eastAsia="標楷體" w:hAnsi="標楷體" w:hint="eastAsia"/>
        </w:rPr>
        <w:t>澳門特別行政區立法會，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002</w:t>
      </w:r>
      <w:r>
        <w:rPr>
          <w:rFonts w:ascii="標楷體" w:eastAsia="標楷體" w:hAnsi="標楷體" w:hint="eastAsia"/>
        </w:rPr>
        <w:t>。</w:t>
      </w:r>
    </w:p>
    <w:p w:rsidR="00293D10" w:rsidRDefault="00EA59E0" w:rsidP="00551938">
      <w:pPr>
        <w:pStyle w:val="a3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司馬</w:t>
      </w:r>
      <w:r w:rsidR="0053240E">
        <w:rPr>
          <w:rFonts w:ascii="標楷體" w:eastAsia="標楷體" w:hAnsi="標楷體" w:hint="eastAsia"/>
        </w:rPr>
        <w:t xml:space="preserve">良 </w:t>
      </w:r>
      <w:r w:rsidR="0053240E">
        <w:rPr>
          <w:rFonts w:ascii="標楷體" w:eastAsia="標楷體" w:hAnsi="標楷體"/>
        </w:rPr>
        <w:t>(</w:t>
      </w:r>
      <w:proofErr w:type="spellStart"/>
      <w:r w:rsidR="0053240E" w:rsidRPr="0053240E">
        <w:rPr>
          <w:rFonts w:ascii="Times New Roman" w:eastAsia="標楷體" w:hAnsi="Times New Roman" w:cs="Times New Roman"/>
        </w:rPr>
        <w:t>António</w:t>
      </w:r>
      <w:proofErr w:type="spellEnd"/>
      <w:r w:rsidR="0053240E" w:rsidRPr="0053240E">
        <w:rPr>
          <w:rFonts w:ascii="Times New Roman" w:eastAsia="標楷體" w:hAnsi="Times New Roman" w:cs="Times New Roman"/>
        </w:rPr>
        <w:t xml:space="preserve"> </w:t>
      </w:r>
      <w:proofErr w:type="spellStart"/>
      <w:r w:rsidR="0053240E" w:rsidRPr="0053240E">
        <w:rPr>
          <w:rFonts w:ascii="Times New Roman" w:eastAsia="標楷體" w:hAnsi="Times New Roman" w:cs="Times New Roman"/>
        </w:rPr>
        <w:t>Correia</w:t>
      </w:r>
      <w:proofErr w:type="spellEnd"/>
      <w:r w:rsidR="0053240E" w:rsidRPr="0053240E">
        <w:rPr>
          <w:rFonts w:ascii="Times New Roman" w:eastAsia="標楷體" w:hAnsi="Times New Roman" w:cs="Times New Roman"/>
        </w:rPr>
        <w:t xml:space="preserve"> Marques da Silva</w:t>
      </w:r>
      <w:r w:rsidR="0053240E" w:rsidRPr="0053240E">
        <w:rPr>
          <w:rFonts w:ascii="標楷體" w:eastAsia="標楷體" w:hAnsi="標楷體"/>
        </w:rPr>
        <w:t>)</w:t>
      </w:r>
      <w:r w:rsidR="0053240E">
        <w:rPr>
          <w:rFonts w:ascii="標楷體" w:eastAsia="標楷體" w:hAnsi="標楷體" w:hint="eastAsia"/>
          <w:lang w:val="pt-PT"/>
        </w:rPr>
        <w:t>、黃玉葉及鄭晶平</w:t>
      </w:r>
      <w:r w:rsidR="0053240E" w:rsidRPr="0053240E">
        <w:rPr>
          <w:rFonts w:ascii="標楷體" w:eastAsia="標楷體" w:hAnsi="標楷體" w:hint="eastAsia"/>
        </w:rPr>
        <w:t>：</w:t>
      </w:r>
      <w:r w:rsidR="0053240E">
        <w:rPr>
          <w:rFonts w:ascii="標楷體" w:eastAsia="標楷體" w:hAnsi="標楷體" w:hint="eastAsia"/>
          <w:lang w:val="pt-PT"/>
        </w:rPr>
        <w:t>《〈道路交通法〉註釋》</w:t>
      </w:r>
      <w:r w:rsidR="0053240E" w:rsidRPr="0053240E">
        <w:rPr>
          <w:rFonts w:ascii="標楷體" w:eastAsia="標楷體" w:hAnsi="標楷體" w:hint="eastAsia"/>
        </w:rPr>
        <w:t>，</w:t>
      </w:r>
      <w:r w:rsidR="0053240E">
        <w:rPr>
          <w:rFonts w:ascii="標楷體" w:eastAsia="標楷體" w:hAnsi="標楷體" w:hint="eastAsia"/>
          <w:lang w:val="pt-PT"/>
        </w:rPr>
        <w:t>澳門法律學刊</w:t>
      </w:r>
      <w:r w:rsidR="0053240E" w:rsidRPr="0053240E">
        <w:rPr>
          <w:rFonts w:ascii="標楷體" w:eastAsia="標楷體" w:hAnsi="標楷體" w:hint="eastAsia"/>
        </w:rPr>
        <w:t>-</w:t>
      </w:r>
      <w:r w:rsidR="0053240E">
        <w:rPr>
          <w:rFonts w:ascii="標楷體" w:eastAsia="標楷體" w:hAnsi="標楷體" w:hint="eastAsia"/>
        </w:rPr>
        <w:t>特刊，歐盟與澳門在法律範疇合作項目，澳門，印</w:t>
      </w:r>
      <w:proofErr w:type="gramStart"/>
      <w:r w:rsidR="0053240E">
        <w:rPr>
          <w:rFonts w:ascii="標楷體" w:eastAsia="標楷體" w:hAnsi="標楷體" w:hint="eastAsia"/>
        </w:rPr>
        <w:t>務</w:t>
      </w:r>
      <w:proofErr w:type="gramEnd"/>
      <w:r w:rsidR="0053240E">
        <w:rPr>
          <w:rFonts w:ascii="標楷體" w:eastAsia="標楷體" w:hAnsi="標楷體" w:hint="eastAsia"/>
        </w:rPr>
        <w:t>局，2</w:t>
      </w:r>
      <w:r w:rsidR="0053240E">
        <w:rPr>
          <w:rFonts w:ascii="標楷體" w:eastAsia="標楷體" w:hAnsi="標楷體"/>
        </w:rPr>
        <w:t>011</w:t>
      </w:r>
      <w:r w:rsidR="0053240E">
        <w:rPr>
          <w:rFonts w:ascii="標楷體" w:eastAsia="標楷體" w:hAnsi="標楷體" w:hint="eastAsia"/>
        </w:rPr>
        <w:t>。</w:t>
      </w:r>
    </w:p>
    <w:p w:rsidR="00353A3D" w:rsidRPr="00E3392D" w:rsidRDefault="00353A3D" w:rsidP="00353A3D">
      <w:pPr>
        <w:pStyle w:val="a3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715907" w:rsidRPr="004331A8" w:rsidRDefault="004331A8" w:rsidP="00715907">
      <w:pPr>
        <w:spacing w:line="480" w:lineRule="exact"/>
        <w:jc w:val="both"/>
        <w:rPr>
          <w:rFonts w:ascii="標楷體" w:eastAsia="標楷體" w:hAnsi="標楷體"/>
          <w:b/>
        </w:rPr>
      </w:pPr>
      <w:r w:rsidRPr="004331A8">
        <w:rPr>
          <w:rFonts w:ascii="標楷體" w:eastAsia="標楷體" w:hAnsi="標楷體"/>
          <w:b/>
        </w:rPr>
        <w:t>(</w:t>
      </w:r>
      <w:r w:rsidRPr="004331A8">
        <w:rPr>
          <w:rFonts w:ascii="標楷體" w:eastAsia="標楷體" w:hAnsi="標楷體" w:hint="eastAsia"/>
          <w:b/>
        </w:rPr>
        <w:t>二)</w:t>
      </w:r>
      <w:r w:rsidRPr="004331A8">
        <w:rPr>
          <w:rFonts w:ascii="標楷體" w:eastAsia="標楷體" w:hAnsi="標楷體"/>
          <w:b/>
        </w:rPr>
        <w:t xml:space="preserve"> </w:t>
      </w:r>
      <w:proofErr w:type="gramStart"/>
      <w:r w:rsidR="00715907" w:rsidRPr="004331A8">
        <w:rPr>
          <w:rFonts w:ascii="標楷體" w:eastAsia="標楷體" w:hAnsi="標楷體" w:hint="eastAsia"/>
          <w:b/>
        </w:rPr>
        <w:t>葡文書目</w:t>
      </w:r>
      <w:proofErr w:type="gramEnd"/>
      <w:r w:rsidR="00715907" w:rsidRPr="004331A8">
        <w:rPr>
          <w:rFonts w:ascii="標楷體" w:eastAsia="標楷體" w:hAnsi="標楷體" w:hint="eastAsia"/>
          <w:b/>
        </w:rPr>
        <w:t>：</w:t>
      </w:r>
    </w:p>
    <w:p w:rsidR="00715907" w:rsidRPr="00E73007" w:rsidRDefault="0053240E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 w:rsidRPr="00E73007">
        <w:rPr>
          <w:rFonts w:ascii="Times New Roman" w:eastAsia="標楷體" w:hAnsi="Times New Roman" w:cs="Times New Roman"/>
          <w:lang w:val="pt-PT"/>
        </w:rPr>
        <w:t>Eduardo Correia, Direito Criminal,</w:t>
      </w:r>
      <w:r w:rsidR="00E73007" w:rsidRPr="00E73007">
        <w:rPr>
          <w:rFonts w:ascii="Times New Roman" w:eastAsia="標楷體" w:hAnsi="Times New Roman" w:cs="Times New Roman"/>
          <w:lang w:val="pt-PT"/>
        </w:rPr>
        <w:t xml:space="preserve"> I, </w:t>
      </w:r>
      <w:r w:rsidR="002D15DC" w:rsidRPr="00E73007">
        <w:rPr>
          <w:rFonts w:ascii="Times New Roman" w:eastAsia="標楷體" w:hAnsi="Times New Roman" w:cs="Times New Roman"/>
          <w:lang w:val="pt-PT"/>
        </w:rPr>
        <w:t>Reimpressão,</w:t>
      </w:r>
      <w:r w:rsidR="002D15DC">
        <w:rPr>
          <w:rFonts w:ascii="Times New Roman" w:eastAsia="標楷體" w:hAnsi="Times New Roman" w:cs="Times New Roman"/>
          <w:lang w:val="pt-PT"/>
        </w:rPr>
        <w:t xml:space="preserve"> </w:t>
      </w:r>
      <w:r w:rsidR="00E73007" w:rsidRPr="00E73007">
        <w:rPr>
          <w:rFonts w:ascii="Times New Roman" w:eastAsia="標楷體" w:hAnsi="Times New Roman" w:cs="Times New Roman"/>
          <w:lang w:val="pt-PT"/>
        </w:rPr>
        <w:t>Livraria Almedina, Coimbra, 1971.</w:t>
      </w:r>
    </w:p>
    <w:p w:rsidR="00E73007" w:rsidRPr="00E73007" w:rsidRDefault="00E73007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 w:rsidRPr="00E73007">
        <w:rPr>
          <w:rFonts w:ascii="Times New Roman" w:eastAsia="標楷體" w:hAnsi="Times New Roman" w:cs="Times New Roman"/>
          <w:lang w:val="pt-PT"/>
        </w:rPr>
        <w:t xml:space="preserve">Eduardo Correia, Direito Criminal, II, </w:t>
      </w:r>
      <w:r w:rsidR="002D15DC" w:rsidRPr="00E73007">
        <w:rPr>
          <w:rFonts w:ascii="Times New Roman" w:eastAsia="標楷體" w:hAnsi="Times New Roman" w:cs="Times New Roman"/>
          <w:lang w:val="pt-PT"/>
        </w:rPr>
        <w:t>Reimpressão,</w:t>
      </w:r>
      <w:r w:rsidR="002D15DC">
        <w:rPr>
          <w:rFonts w:ascii="Times New Roman" w:eastAsia="標楷體" w:hAnsi="Times New Roman" w:cs="Times New Roman"/>
          <w:lang w:val="pt-PT"/>
        </w:rPr>
        <w:t xml:space="preserve"> </w:t>
      </w:r>
      <w:r w:rsidRPr="00E73007">
        <w:rPr>
          <w:rFonts w:ascii="Times New Roman" w:eastAsia="標楷體" w:hAnsi="Times New Roman" w:cs="Times New Roman"/>
          <w:lang w:val="pt-PT"/>
        </w:rPr>
        <w:t>Livraria Almedina, Coimbra, 1992.</w:t>
      </w:r>
    </w:p>
    <w:p w:rsidR="00E73007" w:rsidRPr="00E73007" w:rsidRDefault="00E73007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 w:rsidRPr="00E73007">
        <w:rPr>
          <w:rFonts w:ascii="Times New Roman" w:eastAsia="標楷體" w:hAnsi="Times New Roman" w:cs="Times New Roman"/>
          <w:lang w:val="pt-PT"/>
        </w:rPr>
        <w:t>Jorge de Figueiredo Dias, Direito Penal, Termo I, Questões Fundamentais, A Doutrina Geral do Crime, 2</w:t>
      </w:r>
      <w:r w:rsidR="00FD7F35">
        <w:rPr>
          <w:rFonts w:ascii="Times New Roman" w:eastAsia="標楷體" w:hAnsi="Times New Roman" w:cs="Times New Roman"/>
          <w:lang w:val="pt-PT"/>
        </w:rPr>
        <w:t>.</w:t>
      </w:r>
      <w:r w:rsidRPr="00E73007">
        <w:rPr>
          <w:rFonts w:ascii="Times New Roman" w:eastAsia="標楷體" w:hAnsi="Times New Roman" w:cs="Times New Roman"/>
          <w:lang w:val="pt-PT"/>
        </w:rPr>
        <w:t xml:space="preserve">ª </w:t>
      </w:r>
      <w:proofErr w:type="spellStart"/>
      <w:r w:rsidRPr="00E73007">
        <w:rPr>
          <w:rFonts w:ascii="Times New Roman" w:eastAsia="標楷體" w:hAnsi="Times New Roman" w:cs="Times New Roman"/>
          <w:lang w:val="pt-PT"/>
        </w:rPr>
        <w:t>Edicão</w:t>
      </w:r>
      <w:proofErr w:type="spellEnd"/>
      <w:r w:rsidRPr="00E73007">
        <w:rPr>
          <w:rFonts w:ascii="Times New Roman" w:eastAsia="標楷體" w:hAnsi="Times New Roman" w:cs="Times New Roman"/>
          <w:lang w:val="pt-PT"/>
        </w:rPr>
        <w:t>, Coimbra Editora,</w:t>
      </w:r>
      <w:r w:rsidR="00FD7F35">
        <w:rPr>
          <w:rFonts w:ascii="Times New Roman" w:eastAsia="標楷體" w:hAnsi="Times New Roman" w:cs="Times New Roman"/>
          <w:lang w:val="pt-PT"/>
        </w:rPr>
        <w:t xml:space="preserve"> </w:t>
      </w:r>
      <w:r w:rsidRPr="00E73007">
        <w:rPr>
          <w:rFonts w:ascii="Times New Roman" w:eastAsia="標楷體" w:hAnsi="Times New Roman" w:cs="Times New Roman"/>
          <w:lang w:val="pt-PT"/>
        </w:rPr>
        <w:t xml:space="preserve">2007. </w:t>
      </w:r>
    </w:p>
    <w:p w:rsidR="00E73007" w:rsidRPr="00FD7F35" w:rsidRDefault="00E73007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 w:rsidRPr="00FD7F35">
        <w:rPr>
          <w:rFonts w:ascii="Times New Roman" w:eastAsia="標楷體" w:hAnsi="Times New Roman" w:cs="Times New Roman"/>
          <w:lang w:val="pt-PT"/>
        </w:rPr>
        <w:t>Manuel Lopes Maia Gonçalves, Código Penal Português, Anotado e Comentado – Legislação Complementar, 18</w:t>
      </w:r>
      <w:r w:rsidR="00FD7F35">
        <w:rPr>
          <w:rFonts w:ascii="Times New Roman" w:eastAsia="標楷體" w:hAnsi="Times New Roman" w:cs="Times New Roman"/>
          <w:lang w:val="pt-PT"/>
        </w:rPr>
        <w:t>.ª</w:t>
      </w:r>
      <w:r w:rsidR="00A04EB1">
        <w:rPr>
          <w:rFonts w:ascii="Times New Roman" w:eastAsia="標楷體" w:hAnsi="Times New Roman" w:cs="Times New Roman"/>
          <w:lang w:val="pt-PT"/>
        </w:rPr>
        <w:t xml:space="preserve"> </w:t>
      </w:r>
      <w:r w:rsidRPr="00FD7F35">
        <w:rPr>
          <w:rFonts w:ascii="Times New Roman" w:eastAsia="標楷體" w:hAnsi="Times New Roman" w:cs="Times New Roman"/>
          <w:lang w:val="pt-PT"/>
        </w:rPr>
        <w:t>edição, Livraria Almedina, 2007.</w:t>
      </w:r>
    </w:p>
    <w:p w:rsidR="00FD7F35" w:rsidRPr="00FD7F35" w:rsidRDefault="00FD7F35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 w:rsidRPr="00FD7F35">
        <w:rPr>
          <w:rFonts w:ascii="Times New Roman" w:eastAsia="標楷體" w:hAnsi="Times New Roman" w:cs="Times New Roman"/>
          <w:lang w:val="pt-PT"/>
        </w:rPr>
        <w:t>J</w:t>
      </w:r>
      <w:r>
        <w:rPr>
          <w:rFonts w:ascii="Times New Roman" w:eastAsia="標楷體" w:hAnsi="Times New Roman" w:cs="Times New Roman"/>
          <w:lang w:val="pt-PT"/>
        </w:rPr>
        <w:t xml:space="preserve">orge de Figueiredo Dias, Comentário Conimbricense do Código Penal Tomo I, </w:t>
      </w:r>
      <w:r w:rsidRPr="00E73007">
        <w:rPr>
          <w:rFonts w:ascii="Times New Roman" w:eastAsia="標楷體" w:hAnsi="Times New Roman" w:cs="Times New Roman"/>
          <w:lang w:val="pt-PT"/>
        </w:rPr>
        <w:t>Coimbra Editora,</w:t>
      </w:r>
      <w:r>
        <w:rPr>
          <w:rFonts w:ascii="Times New Roman" w:eastAsia="標楷體" w:hAnsi="Times New Roman" w:cs="Times New Roman"/>
          <w:lang w:val="pt-PT"/>
        </w:rPr>
        <w:t xml:space="preserve"> 1999. </w:t>
      </w:r>
    </w:p>
    <w:p w:rsidR="00E73007" w:rsidRDefault="00FD7F35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 w:rsidRPr="00FD7F35">
        <w:rPr>
          <w:rFonts w:ascii="Times New Roman" w:eastAsia="標楷體" w:hAnsi="Times New Roman" w:cs="Times New Roman"/>
          <w:lang w:val="pt-PT"/>
        </w:rPr>
        <w:t>J</w:t>
      </w:r>
      <w:r>
        <w:rPr>
          <w:rFonts w:ascii="Times New Roman" w:eastAsia="標楷體" w:hAnsi="Times New Roman" w:cs="Times New Roman"/>
          <w:lang w:val="pt-PT"/>
        </w:rPr>
        <w:t xml:space="preserve">orge de Figueiredo Dias, Comentário Conimbricense do Código Penal Tomo II, </w:t>
      </w:r>
      <w:r w:rsidRPr="00E73007">
        <w:rPr>
          <w:rFonts w:ascii="Times New Roman" w:eastAsia="標楷體" w:hAnsi="Times New Roman" w:cs="Times New Roman"/>
          <w:lang w:val="pt-PT"/>
        </w:rPr>
        <w:t>Coimbra Editora,</w:t>
      </w:r>
      <w:r>
        <w:rPr>
          <w:rFonts w:ascii="Times New Roman" w:eastAsia="標楷體" w:hAnsi="Times New Roman" w:cs="Times New Roman"/>
          <w:lang w:val="pt-PT"/>
        </w:rPr>
        <w:t xml:space="preserve"> 1999. </w:t>
      </w:r>
      <w:r w:rsidR="00E73007" w:rsidRPr="00FD7F35">
        <w:rPr>
          <w:rFonts w:ascii="Times New Roman" w:eastAsia="標楷體" w:hAnsi="Times New Roman" w:cs="Times New Roman"/>
          <w:lang w:val="pt-PT"/>
        </w:rPr>
        <w:t xml:space="preserve">  </w:t>
      </w:r>
    </w:p>
    <w:p w:rsidR="00FD7F35" w:rsidRDefault="00FD7F35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 w:rsidRPr="00FD7F35">
        <w:rPr>
          <w:rFonts w:ascii="Times New Roman" w:eastAsia="標楷體" w:hAnsi="Times New Roman" w:cs="Times New Roman"/>
          <w:lang w:val="pt-PT"/>
        </w:rPr>
        <w:t>J</w:t>
      </w:r>
      <w:r>
        <w:rPr>
          <w:rFonts w:ascii="Times New Roman" w:eastAsia="標楷體" w:hAnsi="Times New Roman" w:cs="Times New Roman"/>
          <w:lang w:val="pt-PT"/>
        </w:rPr>
        <w:t xml:space="preserve">orge de Figueiredo Dias, Comentário Conimbricense do Código Penal Tomo III, </w:t>
      </w:r>
      <w:r w:rsidRPr="00E73007">
        <w:rPr>
          <w:rFonts w:ascii="Times New Roman" w:eastAsia="標楷體" w:hAnsi="Times New Roman" w:cs="Times New Roman"/>
          <w:lang w:val="pt-PT"/>
        </w:rPr>
        <w:t>Coimbra Editora,</w:t>
      </w:r>
      <w:r>
        <w:rPr>
          <w:rFonts w:ascii="Times New Roman" w:eastAsia="標楷體" w:hAnsi="Times New Roman" w:cs="Times New Roman"/>
          <w:lang w:val="pt-PT"/>
        </w:rPr>
        <w:t xml:space="preserve"> 1999.</w:t>
      </w:r>
    </w:p>
    <w:p w:rsidR="00FD7F35" w:rsidRDefault="00FD7F35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>
        <w:rPr>
          <w:rFonts w:ascii="Times New Roman" w:eastAsia="標楷體" w:hAnsi="Times New Roman" w:cs="Times New Roman"/>
          <w:lang w:val="pt-PT"/>
        </w:rPr>
        <w:t>Paulo Pinto de Albuquerque, Comentário do Código Penal à Luz da Constituição da República e da Convenção Europeia dos Direitos do Homem, 3.ª edição atualizada, Universidade Católica Editora, 2015.</w:t>
      </w:r>
    </w:p>
    <w:p w:rsidR="00FD7F35" w:rsidRDefault="00FD7F35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>
        <w:rPr>
          <w:rFonts w:ascii="Times New Roman" w:eastAsia="標楷體" w:hAnsi="Times New Roman" w:cs="Times New Roman"/>
          <w:lang w:val="pt-PT"/>
        </w:rPr>
        <w:t>Manuel Leal-Henriques, Anotação e Comentário ao Código Penal de Macau Volume I</w:t>
      </w:r>
      <w:r w:rsidR="00EB2AB0">
        <w:rPr>
          <w:rFonts w:ascii="Times New Roman" w:eastAsia="標楷體" w:hAnsi="Times New Roman" w:cs="Times New Roman"/>
          <w:lang w:val="pt-PT"/>
        </w:rPr>
        <w:t xml:space="preserve">, </w:t>
      </w:r>
      <w:r>
        <w:rPr>
          <w:rFonts w:ascii="Times New Roman" w:eastAsia="標楷體" w:hAnsi="Times New Roman" w:cs="Times New Roman"/>
          <w:lang w:val="pt-PT"/>
        </w:rPr>
        <w:t>(Artigos 1.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>
        <w:rPr>
          <w:rFonts w:ascii="Times New Roman" w:eastAsia="標楷體" w:hAnsi="Times New Roman" w:cs="Times New Roman"/>
          <w:lang w:val="pt-PT"/>
        </w:rPr>
        <w:t xml:space="preserve"> a 38.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>
        <w:rPr>
          <w:rFonts w:ascii="Times New Roman" w:eastAsia="標楷體" w:hAnsi="Times New Roman" w:cs="Times New Roman"/>
          <w:lang w:val="pt-PT"/>
        </w:rPr>
        <w:t xml:space="preserve">), Centro de Formação Jurídica e Judiciária, 2013. </w:t>
      </w:r>
    </w:p>
    <w:p w:rsidR="00EB2AB0" w:rsidRDefault="00EB2AB0" w:rsidP="00EB2AB0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>
        <w:rPr>
          <w:rFonts w:ascii="Times New Roman" w:eastAsia="標楷體" w:hAnsi="Times New Roman" w:cs="Times New Roman"/>
          <w:lang w:val="pt-PT"/>
        </w:rPr>
        <w:lastRenderedPageBreak/>
        <w:t>Manuel Leal-Henriques, Anotação e Comentário ao Código Penal de Macau Volume II, (Artigos 39.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>
        <w:rPr>
          <w:rFonts w:ascii="Times New Roman" w:eastAsia="標楷體" w:hAnsi="Times New Roman" w:cs="Times New Roman"/>
          <w:lang w:val="pt-PT"/>
        </w:rPr>
        <w:t xml:space="preserve"> a 127.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>
        <w:rPr>
          <w:rFonts w:ascii="Times New Roman" w:eastAsia="標楷體" w:hAnsi="Times New Roman" w:cs="Times New Roman"/>
          <w:lang w:val="pt-PT"/>
        </w:rPr>
        <w:t xml:space="preserve">), Centro de Formação Jurídica e Judiciária, 2014. </w:t>
      </w:r>
    </w:p>
    <w:p w:rsidR="00FD7F35" w:rsidRDefault="00EB2AB0" w:rsidP="00E73007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>
        <w:rPr>
          <w:rFonts w:ascii="Times New Roman" w:eastAsia="標楷體" w:hAnsi="Times New Roman" w:cs="Times New Roman"/>
          <w:lang w:val="pt-PT"/>
        </w:rPr>
        <w:t>Manuel Leal-Henriques, Anotação e Comentário ao Código Penal de Macau (Parte Especial), Volume III, Crimes contra a Pessoa, (Artigos 128.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>
        <w:rPr>
          <w:rFonts w:ascii="Times New Roman" w:eastAsia="標楷體" w:hAnsi="Times New Roman" w:cs="Times New Roman"/>
          <w:lang w:val="pt-PT"/>
        </w:rPr>
        <w:t xml:space="preserve"> a 195.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>
        <w:rPr>
          <w:rFonts w:ascii="Times New Roman" w:eastAsia="標楷體" w:hAnsi="Times New Roman" w:cs="Times New Roman"/>
          <w:lang w:val="pt-PT"/>
        </w:rPr>
        <w:t>), Centro de Formação Jurídica e Judiciária, 2014.</w:t>
      </w:r>
    </w:p>
    <w:p w:rsidR="00EB2AB0" w:rsidRPr="00FD7F35" w:rsidRDefault="00EB2AB0" w:rsidP="00EB2AB0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>
        <w:rPr>
          <w:rFonts w:ascii="Times New Roman" w:eastAsia="標楷體" w:hAnsi="Times New Roman" w:cs="Times New Roman"/>
          <w:lang w:val="pt-PT"/>
        </w:rPr>
        <w:t>Manuel Leal-Henriques, Anotação e Comentário ao Código Penal de Macau (Parte Espec</w:t>
      </w:r>
      <w:r w:rsidR="00EE3844">
        <w:rPr>
          <w:rFonts w:ascii="Times New Roman" w:eastAsia="標楷體" w:hAnsi="Times New Roman" w:cs="Times New Roman"/>
          <w:lang w:val="pt-PT"/>
        </w:rPr>
        <w:t>ial), Volume IV, Crimes contra o</w:t>
      </w:r>
      <w:r>
        <w:rPr>
          <w:rFonts w:ascii="Times New Roman" w:eastAsia="標楷體" w:hAnsi="Times New Roman" w:cs="Times New Roman"/>
          <w:lang w:val="pt-PT"/>
        </w:rPr>
        <w:t xml:space="preserve"> Património, (Artigos 196.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>
        <w:rPr>
          <w:rFonts w:ascii="Times New Roman" w:eastAsia="標楷體" w:hAnsi="Times New Roman" w:cs="Times New Roman"/>
          <w:lang w:val="pt-PT"/>
        </w:rPr>
        <w:t xml:space="preserve"> a 228.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>
        <w:rPr>
          <w:rFonts w:ascii="Times New Roman" w:eastAsia="標楷體" w:hAnsi="Times New Roman" w:cs="Times New Roman"/>
          <w:lang w:val="pt-PT"/>
        </w:rPr>
        <w:t>), Centro de Formação Jurídica e Judiciária, 2016.</w:t>
      </w:r>
    </w:p>
    <w:p w:rsidR="00EB2AB0" w:rsidRPr="00FD7F35" w:rsidRDefault="00EB2AB0" w:rsidP="00EB2AB0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>
        <w:rPr>
          <w:rFonts w:ascii="Times New Roman" w:eastAsia="標楷體" w:hAnsi="Times New Roman" w:cs="Times New Roman"/>
          <w:lang w:val="pt-PT"/>
        </w:rPr>
        <w:t xml:space="preserve">Manuel Leal-Henriques, Anotação e Comentário ao Código Penal de Macau (Parte Especial), Volume V, Crimes contra a Paz e a Humanidade, Crimes contra a Família, Crimes de Falsificação, Crimes de Perigo Comum, (Artigos </w:t>
      </w:r>
      <w:r w:rsidR="00A04EB1">
        <w:rPr>
          <w:rFonts w:ascii="Times New Roman" w:eastAsia="標楷體" w:hAnsi="Times New Roman" w:cs="Times New Roman"/>
          <w:lang w:val="pt-PT"/>
        </w:rPr>
        <w:t>229</w:t>
      </w:r>
      <w:r>
        <w:rPr>
          <w:rFonts w:ascii="Times New Roman" w:eastAsia="標楷體" w:hAnsi="Times New Roman" w:cs="Times New Roman"/>
          <w:lang w:val="pt-PT"/>
        </w:rPr>
        <w:t>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 w:rsidR="00A04EB1">
        <w:rPr>
          <w:rFonts w:ascii="Times New Roman" w:eastAsia="標楷體" w:hAnsi="Times New Roman" w:cs="Times New Roman"/>
          <w:lang w:val="pt-PT"/>
        </w:rPr>
        <w:t xml:space="preserve"> a 274</w:t>
      </w:r>
      <w:r>
        <w:rPr>
          <w:rFonts w:ascii="Times New Roman" w:eastAsia="標楷體" w:hAnsi="Times New Roman" w:cs="Times New Roman"/>
          <w:lang w:val="pt-PT"/>
        </w:rPr>
        <w:t>.</w:t>
      </w:r>
      <w:r w:rsidRPr="00FD7F35">
        <w:rPr>
          <w:rFonts w:ascii="Times New Roman" w:eastAsia="標楷體" w:hAnsi="Times New Roman" w:cs="Times New Roman"/>
          <w:vertAlign w:val="superscript"/>
          <w:lang w:val="pt-PT"/>
        </w:rPr>
        <w:t>o</w:t>
      </w:r>
      <w:r>
        <w:rPr>
          <w:rFonts w:ascii="Times New Roman" w:eastAsia="標楷體" w:hAnsi="Times New Roman" w:cs="Times New Roman"/>
          <w:lang w:val="pt-PT"/>
        </w:rPr>
        <w:t>), Centro de Formação Jurídica e Judiciária, 2017.</w:t>
      </w:r>
    </w:p>
    <w:p w:rsidR="00EB2AB0" w:rsidRPr="00A04EB1" w:rsidRDefault="00EB2AB0" w:rsidP="00224003">
      <w:pPr>
        <w:pStyle w:val="a3"/>
        <w:numPr>
          <w:ilvl w:val="0"/>
          <w:numId w:val="8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lang w:val="pt-PT"/>
        </w:rPr>
      </w:pPr>
      <w:r w:rsidRPr="00A04EB1">
        <w:rPr>
          <w:rFonts w:ascii="Times New Roman" w:eastAsia="標楷體" w:hAnsi="Times New Roman" w:cs="Times New Roman"/>
          <w:lang w:val="pt-PT"/>
        </w:rPr>
        <w:t>Manuel Leal-Henriques, Anotação e Comentário ao Código Penal de Macau (Parte Especial), Volume V</w:t>
      </w:r>
      <w:r w:rsidR="00A04EB1" w:rsidRPr="00A04EB1">
        <w:rPr>
          <w:rFonts w:ascii="Times New Roman" w:eastAsia="標楷體" w:hAnsi="Times New Roman" w:cs="Times New Roman"/>
          <w:lang w:val="pt-PT"/>
        </w:rPr>
        <w:t>I</w:t>
      </w:r>
      <w:r w:rsidRPr="00A04EB1">
        <w:rPr>
          <w:rFonts w:ascii="Times New Roman" w:eastAsia="標楷體" w:hAnsi="Times New Roman" w:cs="Times New Roman"/>
          <w:lang w:val="pt-PT"/>
        </w:rPr>
        <w:t xml:space="preserve">, Crimes contra a </w:t>
      </w:r>
      <w:r w:rsidR="00A04EB1" w:rsidRPr="00A04EB1">
        <w:rPr>
          <w:rFonts w:ascii="Times New Roman" w:eastAsia="標楷體" w:hAnsi="Times New Roman" w:cs="Times New Roman"/>
          <w:lang w:val="pt-PT"/>
        </w:rPr>
        <w:t>Ordem e Tranquilidade Públicas</w:t>
      </w:r>
      <w:r w:rsidRPr="00A04EB1">
        <w:rPr>
          <w:rFonts w:ascii="Times New Roman" w:eastAsia="標楷體" w:hAnsi="Times New Roman" w:cs="Times New Roman"/>
          <w:lang w:val="pt-PT"/>
        </w:rPr>
        <w:t>, C</w:t>
      </w:r>
      <w:r w:rsidR="00A04EB1" w:rsidRPr="00A04EB1">
        <w:rPr>
          <w:rFonts w:ascii="Times New Roman" w:eastAsia="標楷體" w:hAnsi="Times New Roman" w:cs="Times New Roman"/>
          <w:lang w:val="pt-PT"/>
        </w:rPr>
        <w:t>rimes contra o Sistema Político, Económico e Social</w:t>
      </w:r>
      <w:r w:rsidRPr="00A04EB1">
        <w:rPr>
          <w:rFonts w:ascii="Times New Roman" w:eastAsia="標楷體" w:hAnsi="Times New Roman" w:cs="Times New Roman"/>
          <w:lang w:val="pt-PT"/>
        </w:rPr>
        <w:t xml:space="preserve">, Crimes </w:t>
      </w:r>
      <w:proofErr w:type="gramStart"/>
      <w:r w:rsidR="004933A2">
        <w:rPr>
          <w:rFonts w:ascii="Times New Roman" w:eastAsia="標楷體" w:hAnsi="Times New Roman" w:cs="Times New Roman"/>
          <w:lang w:val="pt-PT"/>
        </w:rPr>
        <w:t xml:space="preserve">contra </w:t>
      </w:r>
      <w:r w:rsidR="00A04EB1" w:rsidRPr="00A04EB1">
        <w:rPr>
          <w:rFonts w:ascii="Times New Roman" w:eastAsia="標楷體" w:hAnsi="Times New Roman" w:cs="Times New Roman"/>
          <w:lang w:val="pt-PT"/>
        </w:rPr>
        <w:t>Estados</w:t>
      </w:r>
      <w:proofErr w:type="gramEnd"/>
      <w:r w:rsidR="00A04EB1" w:rsidRPr="00A04EB1">
        <w:rPr>
          <w:rFonts w:ascii="Times New Roman" w:eastAsia="標楷體" w:hAnsi="Times New Roman" w:cs="Times New Roman"/>
          <w:lang w:val="pt-PT"/>
        </w:rPr>
        <w:t xml:space="preserve"> e Organizações Internacionais</w:t>
      </w:r>
      <w:r w:rsidRPr="00A04EB1">
        <w:rPr>
          <w:rFonts w:ascii="Times New Roman" w:eastAsia="標楷體" w:hAnsi="Times New Roman" w:cs="Times New Roman"/>
          <w:lang w:val="pt-PT"/>
        </w:rPr>
        <w:t xml:space="preserve">, Crimes </w:t>
      </w:r>
      <w:r w:rsidR="00A04EB1" w:rsidRPr="00A04EB1">
        <w:rPr>
          <w:rFonts w:ascii="Times New Roman" w:eastAsia="標楷體" w:hAnsi="Times New Roman" w:cs="Times New Roman"/>
          <w:lang w:val="pt-PT"/>
        </w:rPr>
        <w:t>conta a Autoridade Pública</w:t>
      </w:r>
      <w:r w:rsidRPr="00A04EB1">
        <w:rPr>
          <w:rFonts w:ascii="Times New Roman" w:eastAsia="標楷體" w:hAnsi="Times New Roman" w:cs="Times New Roman"/>
          <w:lang w:val="pt-PT"/>
        </w:rPr>
        <w:t>,</w:t>
      </w:r>
      <w:r w:rsidR="00A04EB1" w:rsidRPr="00A04EB1">
        <w:rPr>
          <w:rFonts w:ascii="Times New Roman" w:eastAsia="標楷體" w:hAnsi="Times New Roman" w:cs="Times New Roman"/>
          <w:lang w:val="pt-PT"/>
        </w:rPr>
        <w:t xml:space="preserve"> Crimes cometidos no Exercício de Funções Públicas</w:t>
      </w:r>
      <w:r w:rsidRPr="00A04EB1">
        <w:rPr>
          <w:rFonts w:ascii="Times New Roman" w:eastAsia="標楷體" w:hAnsi="Times New Roman" w:cs="Times New Roman"/>
          <w:lang w:val="pt-PT"/>
        </w:rPr>
        <w:t xml:space="preserve"> </w:t>
      </w:r>
      <w:r w:rsidR="00A04EB1" w:rsidRPr="00A04EB1">
        <w:rPr>
          <w:rFonts w:ascii="Times New Roman" w:eastAsia="標楷體" w:hAnsi="Times New Roman" w:cs="Times New Roman"/>
          <w:lang w:val="pt-PT"/>
        </w:rPr>
        <w:t>(Artigos 275</w:t>
      </w:r>
      <w:r w:rsidRPr="00A04EB1">
        <w:rPr>
          <w:rFonts w:ascii="Times New Roman" w:eastAsia="標楷體" w:hAnsi="Times New Roman" w:cs="Times New Roman"/>
          <w:lang w:val="pt-PT"/>
        </w:rPr>
        <w:t>.</w:t>
      </w:r>
      <w:r w:rsidRPr="00A04EB1">
        <w:rPr>
          <w:rFonts w:ascii="Times New Roman" w:eastAsia="標楷體" w:hAnsi="Times New Roman" w:cs="Times New Roman"/>
          <w:vertAlign w:val="superscript"/>
          <w:lang w:val="pt-PT"/>
        </w:rPr>
        <w:t>o</w:t>
      </w:r>
      <w:r w:rsidR="00A04EB1" w:rsidRPr="00A04EB1">
        <w:rPr>
          <w:rFonts w:ascii="Times New Roman" w:eastAsia="標楷體" w:hAnsi="Times New Roman" w:cs="Times New Roman"/>
          <w:lang w:val="pt-PT"/>
        </w:rPr>
        <w:t xml:space="preserve"> a 350</w:t>
      </w:r>
      <w:r w:rsidRPr="00A04EB1">
        <w:rPr>
          <w:rFonts w:ascii="Times New Roman" w:eastAsia="標楷體" w:hAnsi="Times New Roman" w:cs="Times New Roman"/>
          <w:lang w:val="pt-PT"/>
        </w:rPr>
        <w:t>.</w:t>
      </w:r>
      <w:r w:rsidRPr="00A04EB1">
        <w:rPr>
          <w:rFonts w:ascii="Times New Roman" w:eastAsia="標楷體" w:hAnsi="Times New Roman" w:cs="Times New Roman"/>
          <w:vertAlign w:val="superscript"/>
          <w:lang w:val="pt-PT"/>
        </w:rPr>
        <w:t>o</w:t>
      </w:r>
      <w:r w:rsidRPr="00A04EB1">
        <w:rPr>
          <w:rFonts w:ascii="Times New Roman" w:eastAsia="標楷體" w:hAnsi="Times New Roman" w:cs="Times New Roman"/>
          <w:lang w:val="pt-PT"/>
        </w:rPr>
        <w:t>), Centro de Formação Jurídica e Judiciária, 201</w:t>
      </w:r>
      <w:r w:rsidR="00A04EB1" w:rsidRPr="00A04EB1">
        <w:rPr>
          <w:rFonts w:ascii="Times New Roman" w:eastAsia="標楷體" w:hAnsi="Times New Roman" w:cs="Times New Roman"/>
          <w:lang w:val="pt-PT"/>
        </w:rPr>
        <w:t>8</w:t>
      </w:r>
      <w:r w:rsidRPr="00A04EB1">
        <w:rPr>
          <w:rFonts w:ascii="Times New Roman" w:eastAsia="標楷體" w:hAnsi="Times New Roman" w:cs="Times New Roman"/>
          <w:lang w:val="pt-PT"/>
        </w:rPr>
        <w:t>.</w:t>
      </w:r>
    </w:p>
    <w:p w:rsidR="00E73007" w:rsidRPr="0053240E" w:rsidRDefault="00E73007" w:rsidP="00715907">
      <w:pPr>
        <w:spacing w:line="480" w:lineRule="exact"/>
        <w:jc w:val="both"/>
        <w:rPr>
          <w:rFonts w:ascii="標楷體" w:eastAsia="標楷體" w:hAnsi="標楷體"/>
          <w:lang w:val="pt-PT"/>
        </w:rPr>
      </w:pPr>
    </w:p>
    <w:p w:rsidR="00185039" w:rsidRPr="00E73007" w:rsidRDefault="00185039" w:rsidP="0053240E">
      <w:pPr>
        <w:spacing w:line="480" w:lineRule="exact"/>
        <w:jc w:val="both"/>
        <w:rPr>
          <w:rFonts w:ascii="標楷體" w:eastAsia="標楷體" w:hAnsi="標楷體"/>
          <w:b/>
          <w:lang w:val="pt-PT"/>
        </w:rPr>
      </w:pPr>
    </w:p>
    <w:p w:rsidR="00185039" w:rsidRPr="00E73007" w:rsidRDefault="00185039" w:rsidP="00DB15AB">
      <w:pPr>
        <w:spacing w:line="480" w:lineRule="exact"/>
        <w:jc w:val="center"/>
        <w:rPr>
          <w:rFonts w:ascii="標楷體" w:eastAsia="標楷體" w:hAnsi="標楷體"/>
          <w:b/>
          <w:lang w:val="pt-PT"/>
        </w:rPr>
      </w:pPr>
    </w:p>
    <w:sectPr w:rsidR="00185039" w:rsidRPr="00E7300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27" w:rsidRDefault="00533127" w:rsidP="00DB15AB">
      <w:r>
        <w:separator/>
      </w:r>
    </w:p>
  </w:endnote>
  <w:endnote w:type="continuationSeparator" w:id="0">
    <w:p w:rsidR="00533127" w:rsidRDefault="00533127" w:rsidP="00DB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947438"/>
      <w:docPartObj>
        <w:docPartGallery w:val="Page Numbers (Bottom of Page)"/>
        <w:docPartUnique/>
      </w:docPartObj>
    </w:sdtPr>
    <w:sdtEndPr/>
    <w:sdtContent>
      <w:p w:rsidR="00EB2AB0" w:rsidRDefault="00EB2AB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F5" w:rsidRPr="007545F5">
          <w:rPr>
            <w:noProof/>
            <w:lang w:val="zh-TW"/>
          </w:rPr>
          <w:t>4</w:t>
        </w:r>
        <w:r>
          <w:fldChar w:fldCharType="end"/>
        </w:r>
      </w:p>
    </w:sdtContent>
  </w:sdt>
  <w:p w:rsidR="00EB2AB0" w:rsidRDefault="00EB2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27" w:rsidRDefault="00533127" w:rsidP="00DB15AB">
      <w:r>
        <w:separator/>
      </w:r>
    </w:p>
  </w:footnote>
  <w:footnote w:type="continuationSeparator" w:id="0">
    <w:p w:rsidR="00533127" w:rsidRDefault="00533127" w:rsidP="00DB15AB">
      <w:r>
        <w:continuationSeparator/>
      </w:r>
    </w:p>
  </w:footnote>
  <w:footnote w:id="1">
    <w:p w:rsidR="00DB15AB" w:rsidRPr="0015563F" w:rsidRDefault="00DB15AB" w:rsidP="00715907">
      <w:pPr>
        <w:pStyle w:val="a4"/>
        <w:jc w:val="both"/>
        <w:rPr>
          <w:rFonts w:ascii="標楷體" w:eastAsia="標楷體" w:hAnsi="標楷體"/>
        </w:rPr>
      </w:pPr>
      <w:r>
        <w:rPr>
          <w:rStyle w:val="a6"/>
        </w:rPr>
        <w:footnoteRef/>
      </w:r>
      <w:r>
        <w:t xml:space="preserve"> </w:t>
      </w:r>
      <w:r w:rsidR="0015563F" w:rsidRPr="0015563F">
        <w:rPr>
          <w:rFonts w:ascii="標楷體" w:eastAsia="標楷體" w:hAnsi="標楷體" w:hint="eastAsia"/>
        </w:rPr>
        <w:t>透過現行第</w:t>
      </w:r>
      <w:r w:rsidR="00BF0885">
        <w:rPr>
          <w:rFonts w:ascii="標楷體" w:eastAsia="標楷體" w:hAnsi="標楷體"/>
        </w:rPr>
        <w:t>3/2007</w:t>
      </w:r>
      <w:r w:rsidR="0015563F" w:rsidRPr="0015563F">
        <w:rPr>
          <w:rFonts w:ascii="標楷體" w:eastAsia="標楷體" w:hAnsi="標楷體" w:hint="eastAsia"/>
        </w:rPr>
        <w:t>號法律《道路交通法》的規定進行闡釋</w:t>
      </w:r>
      <w:r w:rsidR="00C205BF" w:rsidRPr="00C205BF">
        <w:rPr>
          <w:rFonts w:ascii="標楷體" w:eastAsia="標楷體" w:hAnsi="標楷體" w:hint="eastAsia"/>
        </w:rPr>
        <w:t>。</w:t>
      </w:r>
    </w:p>
  </w:footnote>
  <w:footnote w:id="2">
    <w:p w:rsidR="00C205BF" w:rsidRDefault="00C205BF">
      <w:pPr>
        <w:pStyle w:val="a4"/>
      </w:pPr>
      <w:r>
        <w:rPr>
          <w:rStyle w:val="a6"/>
        </w:rPr>
        <w:footnoteRef/>
      </w:r>
      <w:r>
        <w:t xml:space="preserve"> </w:t>
      </w:r>
      <w:r w:rsidRPr="00C205BF">
        <w:rPr>
          <w:rFonts w:ascii="標楷體" w:eastAsia="標楷體" w:hAnsi="標楷體" w:hint="eastAsia"/>
        </w:rPr>
        <w:t>參見《刑法典》第</w:t>
      </w:r>
      <w:r w:rsidR="003E0C56">
        <w:rPr>
          <w:rFonts w:ascii="標楷體" w:eastAsia="標楷體" w:hAnsi="標楷體" w:hint="eastAsia"/>
        </w:rPr>
        <w:t>一</w:t>
      </w:r>
      <w:r w:rsidRPr="00C205BF">
        <w:rPr>
          <w:rFonts w:ascii="標楷體" w:eastAsia="標楷體" w:hAnsi="標楷體" w:hint="eastAsia"/>
        </w:rPr>
        <w:t>條。</w:t>
      </w:r>
    </w:p>
  </w:footnote>
  <w:footnote w:id="3">
    <w:p w:rsidR="00C205BF" w:rsidRDefault="00C205BF">
      <w:pPr>
        <w:pStyle w:val="a4"/>
      </w:pPr>
      <w:r>
        <w:rPr>
          <w:rStyle w:val="a6"/>
        </w:rPr>
        <w:footnoteRef/>
      </w:r>
      <w:r>
        <w:t xml:space="preserve"> </w:t>
      </w:r>
      <w:r w:rsidRPr="00C205BF">
        <w:rPr>
          <w:rFonts w:ascii="標楷體" w:eastAsia="標楷體" w:hAnsi="標楷體" w:hint="eastAsia"/>
        </w:rPr>
        <w:t>參見《刑法典》第二條</w:t>
      </w:r>
      <w:r>
        <w:rPr>
          <w:rFonts w:ascii="標楷體" w:eastAsia="標楷體" w:hAnsi="標楷體" w:hint="eastAsia"/>
        </w:rPr>
        <w:t>及第</w:t>
      </w:r>
      <w:r w:rsidR="003E0C56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條</w:t>
      </w:r>
      <w:r w:rsidRPr="00C205BF">
        <w:rPr>
          <w:rFonts w:ascii="標楷體" w:eastAsia="標楷體" w:hAnsi="標楷體" w:hint="eastAsia"/>
        </w:rPr>
        <w:t>。</w:t>
      </w:r>
    </w:p>
  </w:footnote>
  <w:footnote w:id="4">
    <w:p w:rsidR="003E0C56" w:rsidRPr="003E0C56" w:rsidRDefault="003E0C56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標楷體" w:eastAsia="標楷體" w:hAnsi="標楷體" w:hint="eastAsia"/>
        </w:rPr>
        <w:t>參見《刑法典》第四</w:t>
      </w:r>
      <w:r w:rsidRPr="00C205BF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至第七條</w:t>
      </w:r>
      <w:r w:rsidRPr="00C205BF">
        <w:rPr>
          <w:rFonts w:ascii="標楷體" w:eastAsia="標楷體" w:hAnsi="標楷體" w:hint="eastAsia"/>
        </w:rPr>
        <w:t>。</w:t>
      </w:r>
    </w:p>
  </w:footnote>
  <w:footnote w:id="5">
    <w:p w:rsidR="003E0C56" w:rsidRPr="003E0C56" w:rsidRDefault="003E0C56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標楷體" w:eastAsia="標楷體" w:hAnsi="標楷體" w:hint="eastAsia"/>
        </w:rPr>
        <w:t>參見《刑法典》第九條</w:t>
      </w:r>
      <w:r w:rsidRPr="00C205BF">
        <w:rPr>
          <w:rFonts w:ascii="標楷體" w:eastAsia="標楷體" w:hAnsi="標楷體" w:hint="eastAsia"/>
        </w:rPr>
        <w:t>。</w:t>
      </w:r>
    </w:p>
  </w:footnote>
  <w:footnote w:id="6">
    <w:p w:rsidR="003E0C56" w:rsidRPr="003E0C56" w:rsidRDefault="003E0C56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標楷體" w:eastAsia="標楷體" w:hAnsi="標楷體" w:hint="eastAsia"/>
        </w:rPr>
        <w:t>參見《刑法典》第十條及第十一條，以及</w:t>
      </w:r>
      <w:r w:rsidRPr="003E0C56">
        <w:rPr>
          <w:rFonts w:ascii="標楷體" w:eastAsia="標楷體" w:hAnsi="標楷體" w:hint="eastAsia"/>
        </w:rPr>
        <w:t>其他現行法</w:t>
      </w:r>
      <w:r w:rsidR="00023514">
        <w:rPr>
          <w:rFonts w:ascii="標楷體" w:eastAsia="標楷體" w:hAnsi="標楷體" w:hint="eastAsia"/>
        </w:rPr>
        <w:t>律</w:t>
      </w:r>
      <w:r w:rsidRPr="003E0C56">
        <w:rPr>
          <w:rFonts w:ascii="標楷體" w:eastAsia="標楷體" w:hAnsi="標楷體" w:hint="eastAsia"/>
        </w:rPr>
        <w:t>關於法人刑事責任的規定</w:t>
      </w:r>
      <w:r>
        <w:rPr>
          <w:rFonts w:ascii="標楷體" w:eastAsia="標楷體" w:hAnsi="標楷體" w:hint="eastAsia"/>
        </w:rPr>
        <w:t>。</w:t>
      </w:r>
    </w:p>
  </w:footnote>
  <w:footnote w:id="7">
    <w:p w:rsidR="00AA56AE" w:rsidRDefault="00AA56AE">
      <w:pPr>
        <w:pStyle w:val="a4"/>
      </w:pPr>
      <w:r>
        <w:rPr>
          <w:rStyle w:val="a6"/>
        </w:rPr>
        <w:footnoteRef/>
      </w:r>
      <w:r>
        <w:t xml:space="preserve"> </w:t>
      </w:r>
      <w:r w:rsidRPr="00C205BF">
        <w:rPr>
          <w:rFonts w:ascii="標楷體" w:eastAsia="標楷體" w:hAnsi="標楷體" w:hint="eastAsia"/>
        </w:rPr>
        <w:t>參見《刑法典》</w:t>
      </w:r>
      <w:r w:rsidR="003E0C56" w:rsidRPr="003E0C56">
        <w:rPr>
          <w:rFonts w:ascii="標楷體" w:eastAsia="標楷體" w:hAnsi="標楷體" w:hint="eastAsia"/>
        </w:rPr>
        <w:t>第</w:t>
      </w:r>
      <w:r w:rsidR="003E0C56">
        <w:rPr>
          <w:rFonts w:ascii="標楷體" w:eastAsia="標楷體" w:hAnsi="標楷體" w:hint="eastAsia"/>
        </w:rPr>
        <w:t>十二</w:t>
      </w:r>
      <w:r w:rsidR="003E0C56" w:rsidRPr="003E0C56">
        <w:rPr>
          <w:rFonts w:ascii="標楷體" w:eastAsia="標楷體" w:hAnsi="標楷體" w:hint="eastAsia"/>
        </w:rPr>
        <w:t>條至第</w:t>
      </w:r>
      <w:r w:rsidR="003E0C56">
        <w:rPr>
          <w:rFonts w:ascii="標楷體" w:eastAsia="標楷體" w:hAnsi="標楷體" w:hint="eastAsia"/>
        </w:rPr>
        <w:t>十四</w:t>
      </w:r>
      <w:r w:rsidR="003E0C56" w:rsidRPr="003E0C56">
        <w:rPr>
          <w:rFonts w:ascii="標楷體" w:eastAsia="標楷體" w:hAnsi="標楷體" w:hint="eastAsia"/>
        </w:rPr>
        <w:t>條</w:t>
      </w:r>
      <w:r w:rsidR="004933A2">
        <w:rPr>
          <w:rFonts w:ascii="標楷體" w:eastAsia="標楷體" w:hAnsi="標楷體" w:hint="eastAsia"/>
        </w:rPr>
        <w:t>。</w:t>
      </w:r>
    </w:p>
  </w:footnote>
  <w:footnote w:id="8">
    <w:p w:rsidR="004933A2" w:rsidRPr="004933A2" w:rsidRDefault="004933A2">
      <w:pPr>
        <w:pStyle w:val="a4"/>
      </w:pPr>
      <w:r>
        <w:rPr>
          <w:rStyle w:val="a6"/>
        </w:rPr>
        <w:footnoteRef/>
      </w:r>
      <w:r>
        <w:t xml:space="preserve"> </w:t>
      </w:r>
      <w:r w:rsidRPr="00C205BF">
        <w:rPr>
          <w:rFonts w:ascii="標楷體" w:eastAsia="標楷體" w:hAnsi="標楷體" w:hint="eastAsia"/>
        </w:rPr>
        <w:t>參見《刑法典》</w:t>
      </w:r>
      <w:r w:rsidRPr="003E0C56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十五</w:t>
      </w:r>
      <w:r w:rsidRPr="003E0C56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。</w:t>
      </w:r>
    </w:p>
  </w:footnote>
  <w:footnote w:id="9">
    <w:p w:rsidR="004933A2" w:rsidRPr="004933A2" w:rsidRDefault="004933A2">
      <w:pPr>
        <w:pStyle w:val="a4"/>
      </w:pPr>
      <w:r>
        <w:rPr>
          <w:rStyle w:val="a6"/>
        </w:rPr>
        <w:footnoteRef/>
      </w:r>
      <w:r>
        <w:t xml:space="preserve"> </w:t>
      </w:r>
      <w:r w:rsidRPr="00C205BF">
        <w:rPr>
          <w:rFonts w:ascii="標楷體" w:eastAsia="標楷體" w:hAnsi="標楷體" w:hint="eastAsia"/>
        </w:rPr>
        <w:t>參見《刑法典》</w:t>
      </w:r>
      <w:r w:rsidRPr="003E0C56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十六</w:t>
      </w:r>
      <w:r w:rsidRPr="003E0C56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。</w:t>
      </w:r>
    </w:p>
  </w:footnote>
  <w:footnote w:id="10">
    <w:p w:rsidR="004933A2" w:rsidRPr="004933A2" w:rsidRDefault="004933A2">
      <w:pPr>
        <w:pStyle w:val="a4"/>
      </w:pPr>
      <w:r>
        <w:rPr>
          <w:rStyle w:val="a6"/>
        </w:rPr>
        <w:footnoteRef/>
      </w:r>
      <w:r>
        <w:t xml:space="preserve"> </w:t>
      </w:r>
      <w:r w:rsidRPr="00C205BF">
        <w:rPr>
          <w:rFonts w:ascii="標楷體" w:eastAsia="標楷體" w:hAnsi="標楷體" w:hint="eastAsia"/>
        </w:rPr>
        <w:t>參見《刑法典》</w:t>
      </w:r>
      <w:r w:rsidRPr="003E0C56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十八條及</w:t>
      </w:r>
      <w:r w:rsidRPr="003E0C56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十九</w:t>
      </w:r>
      <w:r w:rsidRPr="003E0C56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。</w:t>
      </w:r>
    </w:p>
  </w:footnote>
  <w:footnote w:id="11">
    <w:p w:rsidR="004933A2" w:rsidRDefault="004933A2">
      <w:pPr>
        <w:pStyle w:val="a4"/>
      </w:pPr>
      <w:r>
        <w:rPr>
          <w:rStyle w:val="a6"/>
        </w:rPr>
        <w:footnoteRef/>
      </w:r>
      <w:r>
        <w:t xml:space="preserve"> </w:t>
      </w:r>
      <w:r w:rsidRPr="00C205BF">
        <w:rPr>
          <w:rFonts w:ascii="標楷體" w:eastAsia="標楷體" w:hAnsi="標楷體" w:hint="eastAsia"/>
        </w:rPr>
        <w:t>參見《刑法典》</w:t>
      </w:r>
      <w:r w:rsidRPr="003E0C56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三十</w:t>
      </w:r>
      <w:r w:rsidRPr="003E0C56">
        <w:rPr>
          <w:rFonts w:ascii="標楷體" w:eastAsia="標楷體" w:hAnsi="標楷體" w:hint="eastAsia"/>
        </w:rPr>
        <w:t>條至第</w:t>
      </w:r>
      <w:r>
        <w:rPr>
          <w:rFonts w:ascii="標楷體" w:eastAsia="標楷體" w:hAnsi="標楷體" w:hint="eastAsia"/>
        </w:rPr>
        <w:t>三十三</w:t>
      </w:r>
      <w:r w:rsidRPr="003E0C56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。第三十五條、第三十七條及第三十八條。</w:t>
      </w:r>
    </w:p>
  </w:footnote>
  <w:footnote w:id="12">
    <w:p w:rsidR="004933A2" w:rsidRDefault="004933A2">
      <w:pPr>
        <w:pStyle w:val="a4"/>
      </w:pPr>
      <w:r>
        <w:rPr>
          <w:rStyle w:val="a6"/>
        </w:rPr>
        <w:footnoteRef/>
      </w:r>
      <w:r>
        <w:t xml:space="preserve"> </w:t>
      </w:r>
      <w:r w:rsidRPr="00C205BF">
        <w:rPr>
          <w:rFonts w:ascii="標楷體" w:eastAsia="標楷體" w:hAnsi="標楷體" w:hint="eastAsia"/>
        </w:rPr>
        <w:t>參見《刑法典》</w:t>
      </w:r>
      <w:r w:rsidRPr="003E0C56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三十四</w:t>
      </w:r>
      <w:r w:rsidRPr="003E0C56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、第三十六條。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1FE"/>
    <w:multiLevelType w:val="hybridMultilevel"/>
    <w:tmpl w:val="DDAEFE14"/>
    <w:lvl w:ilvl="0" w:tplc="8AE276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255D273B"/>
    <w:multiLevelType w:val="multilevel"/>
    <w:tmpl w:val="2EAE38E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2A4555C0"/>
    <w:multiLevelType w:val="hybridMultilevel"/>
    <w:tmpl w:val="3AEE2F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9670F0"/>
    <w:multiLevelType w:val="hybridMultilevel"/>
    <w:tmpl w:val="C5F4D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B634C7"/>
    <w:multiLevelType w:val="hybridMultilevel"/>
    <w:tmpl w:val="54B2BB18"/>
    <w:lvl w:ilvl="0" w:tplc="1FC2E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042A8D"/>
    <w:multiLevelType w:val="hybridMultilevel"/>
    <w:tmpl w:val="3C864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6577D8"/>
    <w:multiLevelType w:val="hybridMultilevel"/>
    <w:tmpl w:val="F410B0A4"/>
    <w:lvl w:ilvl="0" w:tplc="53766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FB3A56"/>
    <w:multiLevelType w:val="hybridMultilevel"/>
    <w:tmpl w:val="61D0C69C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8" w15:restartNumberingAfterBreak="0">
    <w:nsid w:val="4BBB065B"/>
    <w:multiLevelType w:val="multilevel"/>
    <w:tmpl w:val="B0484BA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3B"/>
    <w:rsid w:val="00023514"/>
    <w:rsid w:val="000A489E"/>
    <w:rsid w:val="0015563F"/>
    <w:rsid w:val="00185039"/>
    <w:rsid w:val="001924CA"/>
    <w:rsid w:val="001B6B6D"/>
    <w:rsid w:val="00275EE8"/>
    <w:rsid w:val="00293D10"/>
    <w:rsid w:val="002A39EC"/>
    <w:rsid w:val="002D15DC"/>
    <w:rsid w:val="002D6D39"/>
    <w:rsid w:val="00317663"/>
    <w:rsid w:val="00327DBB"/>
    <w:rsid w:val="003311E1"/>
    <w:rsid w:val="00350F7D"/>
    <w:rsid w:val="00353A3D"/>
    <w:rsid w:val="00371AEB"/>
    <w:rsid w:val="003E0C56"/>
    <w:rsid w:val="00411317"/>
    <w:rsid w:val="004331A8"/>
    <w:rsid w:val="00443687"/>
    <w:rsid w:val="00444F14"/>
    <w:rsid w:val="004933A2"/>
    <w:rsid w:val="004D483B"/>
    <w:rsid w:val="0050439E"/>
    <w:rsid w:val="0053240E"/>
    <w:rsid w:val="00533127"/>
    <w:rsid w:val="005342C7"/>
    <w:rsid w:val="00551938"/>
    <w:rsid w:val="005D76C1"/>
    <w:rsid w:val="00651A4D"/>
    <w:rsid w:val="00657F2C"/>
    <w:rsid w:val="006B1AA9"/>
    <w:rsid w:val="006E4185"/>
    <w:rsid w:val="006F2F2F"/>
    <w:rsid w:val="00715907"/>
    <w:rsid w:val="00720461"/>
    <w:rsid w:val="00744801"/>
    <w:rsid w:val="007545F5"/>
    <w:rsid w:val="00756CF8"/>
    <w:rsid w:val="007B1DA0"/>
    <w:rsid w:val="007E2FD8"/>
    <w:rsid w:val="00806452"/>
    <w:rsid w:val="00984FA1"/>
    <w:rsid w:val="009D1E3D"/>
    <w:rsid w:val="00A03919"/>
    <w:rsid w:val="00A04EB1"/>
    <w:rsid w:val="00AA56AE"/>
    <w:rsid w:val="00AC135A"/>
    <w:rsid w:val="00AE7059"/>
    <w:rsid w:val="00B207F4"/>
    <w:rsid w:val="00B273F3"/>
    <w:rsid w:val="00B33DA4"/>
    <w:rsid w:val="00B36B40"/>
    <w:rsid w:val="00BB764C"/>
    <w:rsid w:val="00BF0885"/>
    <w:rsid w:val="00C171AC"/>
    <w:rsid w:val="00C205BF"/>
    <w:rsid w:val="00C348EB"/>
    <w:rsid w:val="00CD1972"/>
    <w:rsid w:val="00D72BDF"/>
    <w:rsid w:val="00D86AFE"/>
    <w:rsid w:val="00DB15AB"/>
    <w:rsid w:val="00DB434A"/>
    <w:rsid w:val="00DC5BF8"/>
    <w:rsid w:val="00E3392D"/>
    <w:rsid w:val="00E51EFD"/>
    <w:rsid w:val="00E73007"/>
    <w:rsid w:val="00E76E7B"/>
    <w:rsid w:val="00EA59E0"/>
    <w:rsid w:val="00EB2AB0"/>
    <w:rsid w:val="00EE3844"/>
    <w:rsid w:val="00F41B81"/>
    <w:rsid w:val="00F70B8D"/>
    <w:rsid w:val="00F96E69"/>
    <w:rsid w:val="00FA3B54"/>
    <w:rsid w:val="00FA74E1"/>
    <w:rsid w:val="00FD7F35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ADD99"/>
  <w15:chartTrackingRefBased/>
  <w15:docId w15:val="{AB2D95D5-B196-479F-8AF7-285E72B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5AB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DB15AB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DB15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B15A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B2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B2AB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B2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B2AB0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1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CD817-69FE-4B4B-8A1C-388F56A6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Vong Iok Ip</dc:creator>
  <cp:keywords/>
  <dc:description/>
  <cp:lastModifiedBy>Vong Iok Ip</cp:lastModifiedBy>
  <cp:revision>17</cp:revision>
  <cp:lastPrinted>2023-07-12T05:37:00Z</cp:lastPrinted>
  <dcterms:created xsi:type="dcterms:W3CDTF">2022-05-31T02:11:00Z</dcterms:created>
  <dcterms:modified xsi:type="dcterms:W3CDTF">2024-06-19T03:37:00Z</dcterms:modified>
</cp:coreProperties>
</file>